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ascii="方正小标宋简体" w:eastAsia="方正小标宋简体"/>
          <w:kern w:val="0"/>
          <w:sz w:val="44"/>
          <w:szCs w:val="36"/>
        </w:rPr>
      </w:pPr>
      <w:r>
        <w:rPr>
          <w:rFonts w:hint="eastAsia" w:ascii="方正小标宋简体" w:eastAsia="方正小标宋简体"/>
          <w:bCs/>
          <w:kern w:val="0"/>
          <w:sz w:val="44"/>
          <w:szCs w:val="36"/>
        </w:rPr>
        <w:t>乐山市第四次全国经济普查公报（第三号）</w:t>
      </w:r>
    </w:p>
    <w:p>
      <w:pPr>
        <w:widowControl/>
        <w:spacing w:line="440" w:lineRule="exact"/>
        <w:jc w:val="center"/>
        <w:rPr>
          <w:rFonts w:ascii="楷体_GB2312" w:eastAsia="楷体_GB2312"/>
          <w:bCs/>
          <w:kern w:val="0"/>
          <w:sz w:val="32"/>
          <w:szCs w:val="32"/>
        </w:rPr>
      </w:pPr>
      <w:r>
        <w:rPr>
          <w:rFonts w:hint="eastAsia" w:ascii="方正小标宋简体" w:eastAsia="方正小标宋简体"/>
          <w:bCs/>
          <w:kern w:val="0"/>
          <w:sz w:val="32"/>
          <w:szCs w:val="32"/>
        </w:rPr>
        <w:t>——</w:t>
      </w:r>
      <w:r>
        <w:rPr>
          <w:rFonts w:hint="eastAsia" w:ascii="楷体_GB2312" w:eastAsia="楷体_GB2312"/>
          <w:bCs/>
          <w:kern w:val="0"/>
          <w:sz w:val="32"/>
          <w:szCs w:val="32"/>
        </w:rPr>
        <w:t>第二产业基本情况</w:t>
      </w:r>
    </w:p>
    <w:p>
      <w:pPr>
        <w:widowControl/>
        <w:spacing w:line="440" w:lineRule="exact"/>
        <w:jc w:val="center"/>
        <w:rPr>
          <w:rFonts w:ascii="楷体_GB2312" w:eastAsia="楷体_GB2312"/>
          <w:kern w:val="0"/>
          <w:sz w:val="32"/>
        </w:rPr>
      </w:pPr>
    </w:p>
    <w:p>
      <w:pPr>
        <w:widowControl/>
        <w:spacing w:line="440" w:lineRule="exact"/>
        <w:jc w:val="center"/>
        <w:rPr>
          <w:rFonts w:ascii="楷体_GB2312" w:eastAsia="楷体_GB2312"/>
          <w:kern w:val="0"/>
          <w:sz w:val="32"/>
          <w:szCs w:val="32"/>
        </w:rPr>
      </w:pPr>
      <w:r>
        <w:rPr>
          <w:rFonts w:hint="eastAsia" w:ascii="楷体_GB2312" w:eastAsia="楷体_GB2312"/>
          <w:kern w:val="0"/>
          <w:sz w:val="32"/>
          <w:szCs w:val="32"/>
        </w:rPr>
        <w:t>乐山市统计局</w:t>
      </w:r>
    </w:p>
    <w:p>
      <w:pPr>
        <w:widowControl/>
        <w:spacing w:line="440" w:lineRule="exact"/>
        <w:jc w:val="center"/>
        <w:rPr>
          <w:rFonts w:ascii="楷体_GB2312" w:eastAsia="楷体_GB2312"/>
          <w:kern w:val="0"/>
          <w:sz w:val="32"/>
          <w:szCs w:val="32"/>
        </w:rPr>
      </w:pPr>
      <w:r>
        <w:rPr>
          <w:rFonts w:hint="eastAsia" w:ascii="楷体_GB2312" w:eastAsia="楷体_GB2312"/>
          <w:kern w:val="0"/>
          <w:sz w:val="32"/>
          <w:szCs w:val="32"/>
        </w:rPr>
        <w:t>乐山市人民政府经济普查领导小组办公室</w:t>
      </w:r>
    </w:p>
    <w:p>
      <w:pPr>
        <w:widowControl/>
        <w:spacing w:line="440" w:lineRule="exact"/>
        <w:jc w:val="center"/>
        <w:rPr>
          <w:rFonts w:ascii="楷体_GB2312" w:eastAsia="楷体_GB2312"/>
          <w:kern w:val="0"/>
          <w:sz w:val="32"/>
          <w:szCs w:val="32"/>
        </w:rPr>
      </w:pPr>
      <w:r>
        <w:rPr>
          <w:rFonts w:hint="eastAsia" w:ascii="楷体_GB2312" w:eastAsia="楷体_GB2312"/>
          <w:kern w:val="0"/>
          <w:sz w:val="32"/>
          <w:szCs w:val="32"/>
        </w:rPr>
        <w:t>2020年4月10日</w:t>
      </w:r>
    </w:p>
    <w:p>
      <w:pPr>
        <w:widowControl/>
        <w:spacing w:line="440" w:lineRule="exact"/>
        <w:jc w:val="left"/>
        <w:rPr>
          <w:kern w:val="0"/>
          <w:sz w:val="24"/>
        </w:rPr>
      </w:pPr>
      <w:r>
        <w:rPr>
          <w:kern w:val="0"/>
          <w:sz w:val="24"/>
        </w:rPr>
        <w:t> </w:t>
      </w:r>
    </w:p>
    <w:p>
      <w:pPr>
        <w:adjustRightInd w:val="0"/>
        <w:spacing w:line="500" w:lineRule="exact"/>
        <w:ind w:firstLine="640" w:firstLineChars="200"/>
        <w:rPr>
          <w:rFonts w:eastAsia="仿宋_GB2312"/>
          <w:kern w:val="0"/>
          <w:sz w:val="32"/>
          <w:szCs w:val="32"/>
        </w:rPr>
      </w:pPr>
      <w:r>
        <w:rPr>
          <w:rFonts w:eastAsia="仿宋_GB2312"/>
          <w:kern w:val="0"/>
          <w:sz w:val="32"/>
          <w:szCs w:val="32"/>
        </w:rPr>
        <w:t>根据</w:t>
      </w:r>
      <w:r>
        <w:rPr>
          <w:rFonts w:hint="eastAsia" w:eastAsia="仿宋_GB2312"/>
          <w:kern w:val="0"/>
          <w:sz w:val="32"/>
          <w:szCs w:val="32"/>
        </w:rPr>
        <w:t>乐山市</w:t>
      </w:r>
      <w:r>
        <w:rPr>
          <w:rFonts w:eastAsia="仿宋_GB2312"/>
          <w:kern w:val="0"/>
          <w:sz w:val="32"/>
          <w:szCs w:val="32"/>
        </w:rPr>
        <w:t>第四次全国经济普查结果，现将</w:t>
      </w:r>
      <w:r>
        <w:rPr>
          <w:rFonts w:hint="eastAsia" w:eastAsia="仿宋_GB2312"/>
          <w:kern w:val="0"/>
          <w:sz w:val="32"/>
          <w:szCs w:val="32"/>
        </w:rPr>
        <w:t>全市</w:t>
      </w:r>
      <w:r>
        <w:rPr>
          <w:rFonts w:eastAsia="仿宋_GB2312"/>
          <w:kern w:val="0"/>
          <w:sz w:val="32"/>
          <w:szCs w:val="32"/>
        </w:rPr>
        <w:t>工业和建筑业的主要数据公布如下：</w:t>
      </w:r>
    </w:p>
    <w:p>
      <w:pPr>
        <w:adjustRightInd w:val="0"/>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一、工业</w:t>
      </w:r>
    </w:p>
    <w:p>
      <w:pPr>
        <w:adjustRightInd w:val="0"/>
        <w:spacing w:line="50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（一）企业法人单位数。</w:t>
      </w:r>
    </w:p>
    <w:p>
      <w:pPr>
        <w:adjustRightInd w:val="0"/>
        <w:spacing w:line="500" w:lineRule="exact"/>
        <w:ind w:firstLine="640" w:firstLineChars="200"/>
        <w:rPr>
          <w:rFonts w:ascii="仿宋_GB2312" w:eastAsia="仿宋_GB2312"/>
          <w:kern w:val="0"/>
          <w:sz w:val="32"/>
          <w:szCs w:val="32"/>
        </w:rPr>
      </w:pPr>
      <w:r>
        <w:rPr>
          <w:rFonts w:hint="eastAsia" w:ascii="仿宋_GB2312" w:eastAsia="仿宋_GB2312"/>
          <w:kern w:val="0"/>
          <w:sz w:val="32"/>
          <w:szCs w:val="32"/>
        </w:rPr>
        <w:t>2018年末，全市共有工业企业法人单位2704个，比2013年末增长2.6%。</w:t>
      </w:r>
    </w:p>
    <w:p>
      <w:pPr>
        <w:widowControl/>
        <w:spacing w:line="500" w:lineRule="exact"/>
        <w:ind w:firstLine="640" w:firstLineChars="200"/>
        <w:rPr>
          <w:rFonts w:eastAsia="仿宋_GB2312"/>
          <w:kern w:val="0"/>
          <w:sz w:val="32"/>
          <w:szCs w:val="32"/>
        </w:rPr>
      </w:pPr>
      <w:r>
        <w:rPr>
          <w:rFonts w:hint="eastAsia" w:ascii="仿宋_GB2312" w:eastAsia="仿宋_GB2312"/>
          <w:kern w:val="0"/>
          <w:sz w:val="32"/>
          <w:szCs w:val="32"/>
        </w:rPr>
        <w:t>在工业企业法人单位中，内资企业2685个，占99.3%；港、澳、台商投资企业12个，占0.4%；外商投资企业7个，占0.3%。内资企业中，国有企业16个，占全部企业的0.6%；集体企业43个，占1.6%；私营企业2059个，占76.1%</w:t>
      </w:r>
      <w:r>
        <w:rPr>
          <w:rFonts w:ascii="仿宋_GB2312" w:eastAsia="仿宋_GB2312"/>
          <w:kern w:val="0"/>
          <w:sz w:val="32"/>
          <w:szCs w:val="32"/>
        </w:rPr>
        <w:t>（详见表3-1）</w:t>
      </w:r>
      <w:r>
        <w:rPr>
          <w:rFonts w:eastAsia="仿宋_GB2312"/>
          <w:kern w:val="0"/>
          <w:sz w:val="32"/>
          <w:szCs w:val="32"/>
        </w:rPr>
        <w:t>。</w:t>
      </w:r>
    </w:p>
    <w:p>
      <w:pPr>
        <w:widowControl/>
        <w:spacing w:line="500" w:lineRule="exact"/>
        <w:ind w:firstLine="640" w:firstLineChars="200"/>
        <w:rPr>
          <w:rFonts w:eastAsia="仿宋_GB2312"/>
          <w:kern w:val="0"/>
          <w:sz w:val="32"/>
          <w:szCs w:val="32"/>
        </w:rPr>
      </w:pPr>
    </w:p>
    <w:p>
      <w:pPr>
        <w:widowControl/>
        <w:spacing w:line="560" w:lineRule="exact"/>
        <w:ind w:left="57" w:right="57"/>
        <w:jc w:val="center"/>
        <w:rPr>
          <w:rFonts w:ascii="黑体" w:hAnsi="黑体" w:eastAsia="黑体"/>
          <w:kern w:val="0"/>
          <w:sz w:val="24"/>
          <w:szCs w:val="24"/>
        </w:rPr>
      </w:pPr>
      <w:r>
        <w:rPr>
          <w:rFonts w:hint="eastAsia" w:ascii="黑体" w:hAnsi="黑体" w:eastAsia="黑体"/>
          <w:kern w:val="0"/>
          <w:sz w:val="24"/>
          <w:szCs w:val="24"/>
        </w:rPr>
        <w:t>表3-1　按登记注册类型分组的工业企业法人单位</w:t>
      </w:r>
    </w:p>
    <w:tbl>
      <w:tblPr>
        <w:tblStyle w:val="4"/>
        <w:tblW w:w="8025" w:type="dxa"/>
        <w:tblInd w:w="360" w:type="dxa"/>
        <w:tblLayout w:type="autofit"/>
        <w:tblCellMar>
          <w:top w:w="0" w:type="dxa"/>
          <w:left w:w="108" w:type="dxa"/>
          <w:bottom w:w="0" w:type="dxa"/>
          <w:right w:w="108" w:type="dxa"/>
        </w:tblCellMar>
      </w:tblPr>
      <w:tblGrid>
        <w:gridCol w:w="4176"/>
        <w:gridCol w:w="3849"/>
      </w:tblGrid>
      <w:tr>
        <w:tblPrEx>
          <w:tblCellMar>
            <w:top w:w="0" w:type="dxa"/>
            <w:left w:w="108" w:type="dxa"/>
            <w:bottom w:w="0" w:type="dxa"/>
            <w:right w:w="108" w:type="dxa"/>
          </w:tblCellMar>
        </w:tblPrEx>
        <w:trPr>
          <w:trHeight w:val="359" w:hRule="atLeast"/>
        </w:trPr>
        <w:tc>
          <w:tcPr>
            <w:tcW w:w="4176" w:type="dxa"/>
            <w:tcBorders>
              <w:top w:val="single" w:color="000000" w:sz="12" w:space="0"/>
              <w:left w:val="nil"/>
              <w:bottom w:val="single" w:color="000000" w:sz="8" w:space="0"/>
              <w:right w:val="single" w:color="000000" w:sz="8" w:space="0"/>
            </w:tcBorders>
            <w:shd w:val="clear" w:color="auto" w:fill="auto"/>
            <w:vAlign w:val="center"/>
          </w:tcPr>
          <w:p>
            <w:pPr>
              <w:widowControl/>
              <w:jc w:val="left"/>
              <w:rPr>
                <w:rFonts w:ascii="黑体" w:hAnsi="黑体" w:eastAsia="黑体" w:cs="宋体"/>
                <w:kern w:val="0"/>
                <w:szCs w:val="21"/>
              </w:rPr>
            </w:pPr>
          </w:p>
        </w:tc>
        <w:tc>
          <w:tcPr>
            <w:tcW w:w="3849" w:type="dxa"/>
            <w:tcBorders>
              <w:top w:val="single" w:color="000000" w:sz="12" w:space="0"/>
              <w:left w:val="nil"/>
              <w:bottom w:val="single" w:color="000000" w:sz="8" w:space="0"/>
              <w:right w:val="nil"/>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企业法人单位（个）</w:t>
            </w:r>
          </w:p>
        </w:tc>
      </w:tr>
      <w:tr>
        <w:tblPrEx>
          <w:tblCellMar>
            <w:top w:w="0" w:type="dxa"/>
            <w:left w:w="108" w:type="dxa"/>
            <w:bottom w:w="0" w:type="dxa"/>
            <w:right w:w="108" w:type="dxa"/>
          </w:tblCellMar>
        </w:tblPrEx>
        <w:trPr>
          <w:trHeight w:val="284" w:hRule="exact"/>
        </w:trPr>
        <w:tc>
          <w:tcPr>
            <w:tcW w:w="4176" w:type="dxa"/>
            <w:tcBorders>
              <w:top w:val="nil"/>
              <w:left w:val="nil"/>
              <w:right w:val="single" w:color="000000" w:sz="8" w:space="0"/>
            </w:tcBorders>
            <w:shd w:val="clear" w:color="auto" w:fill="auto"/>
            <w:vAlign w:val="center"/>
          </w:tcPr>
          <w:p>
            <w:pPr>
              <w:widowControl/>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3849" w:type="dxa"/>
            <w:tcBorders>
              <w:top w:val="nil"/>
              <w:left w:val="nil"/>
              <w:right w:val="nil"/>
            </w:tcBorders>
            <w:shd w:val="clear" w:color="auto" w:fill="auto"/>
            <w:vAlign w:val="center"/>
          </w:tcPr>
          <w:p>
            <w:pPr>
              <w:widowControl/>
              <w:ind w:right="1260" w:rightChars="600"/>
              <w:jc w:val="right"/>
              <w:rPr>
                <w:rFonts w:ascii="仿宋_GB2312" w:hAnsi="Times New Roman" w:eastAsia="仿宋_GB2312"/>
                <w:b/>
                <w:bCs/>
                <w:color w:val="000000"/>
                <w:kern w:val="0"/>
                <w:szCs w:val="21"/>
              </w:rPr>
            </w:pPr>
            <w:r>
              <w:rPr>
                <w:rFonts w:hint="eastAsia" w:ascii="仿宋_GB2312" w:hAnsi="Times New Roman" w:eastAsia="仿宋_GB2312"/>
                <w:b/>
                <w:bCs/>
                <w:color w:val="000000"/>
                <w:kern w:val="0"/>
                <w:szCs w:val="21"/>
              </w:rPr>
              <w:t>2704</w:t>
            </w:r>
          </w:p>
        </w:tc>
      </w:tr>
      <w:tr>
        <w:tblPrEx>
          <w:tblCellMar>
            <w:top w:w="0" w:type="dxa"/>
            <w:left w:w="108" w:type="dxa"/>
            <w:bottom w:w="0" w:type="dxa"/>
            <w:right w:w="108" w:type="dxa"/>
          </w:tblCellMar>
        </w:tblPrEx>
        <w:trPr>
          <w:trHeight w:val="284" w:hRule="exact"/>
        </w:trPr>
        <w:tc>
          <w:tcPr>
            <w:tcW w:w="4176" w:type="dxa"/>
            <w:tcBorders>
              <w:top w:val="nil"/>
              <w:left w:val="nil"/>
              <w:bottom w:val="nil"/>
              <w:right w:val="single" w:color="000000" w:sz="8" w:space="0"/>
            </w:tcBorders>
            <w:shd w:val="clear" w:color="auto" w:fill="auto"/>
            <w:vAlign w:val="center"/>
          </w:tcPr>
          <w:p>
            <w:pPr>
              <w:widowControl/>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内资企业</w:t>
            </w:r>
          </w:p>
        </w:tc>
        <w:tc>
          <w:tcPr>
            <w:tcW w:w="3849" w:type="dxa"/>
            <w:tcBorders>
              <w:top w:val="nil"/>
              <w:left w:val="nil"/>
              <w:bottom w:val="nil"/>
              <w:right w:val="nil"/>
            </w:tcBorders>
            <w:shd w:val="clear" w:color="auto" w:fill="auto"/>
            <w:vAlign w:val="center"/>
          </w:tcPr>
          <w:p>
            <w:pPr>
              <w:widowControl/>
              <w:ind w:right="1260" w:rightChars="600"/>
              <w:jc w:val="right"/>
              <w:rPr>
                <w:rFonts w:ascii="仿宋_GB2312" w:hAnsi="Times New Roman" w:eastAsia="仿宋_GB2312"/>
                <w:b/>
                <w:bCs/>
                <w:color w:val="000000"/>
                <w:kern w:val="0"/>
                <w:szCs w:val="21"/>
              </w:rPr>
            </w:pPr>
            <w:r>
              <w:rPr>
                <w:rFonts w:hint="eastAsia" w:ascii="仿宋_GB2312" w:hAnsi="Times New Roman" w:eastAsia="仿宋_GB2312"/>
                <w:b/>
                <w:bCs/>
                <w:color w:val="000000"/>
                <w:kern w:val="0"/>
                <w:szCs w:val="21"/>
              </w:rPr>
              <w:t>2685</w:t>
            </w:r>
          </w:p>
        </w:tc>
      </w:tr>
      <w:tr>
        <w:tblPrEx>
          <w:tblCellMar>
            <w:top w:w="0" w:type="dxa"/>
            <w:left w:w="108" w:type="dxa"/>
            <w:bottom w:w="0" w:type="dxa"/>
            <w:right w:w="108" w:type="dxa"/>
          </w:tblCellMar>
        </w:tblPrEx>
        <w:trPr>
          <w:trHeight w:val="255" w:hRule="exact"/>
        </w:trPr>
        <w:tc>
          <w:tcPr>
            <w:tcW w:w="4176" w:type="dxa"/>
            <w:tcBorders>
              <w:top w:val="nil"/>
              <w:left w:val="nil"/>
              <w:bottom w:val="nil"/>
              <w:right w:val="single" w:color="000000"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国有企业</w:t>
            </w:r>
          </w:p>
        </w:tc>
        <w:tc>
          <w:tcPr>
            <w:tcW w:w="3849" w:type="dxa"/>
            <w:tcBorders>
              <w:top w:val="nil"/>
              <w:left w:val="nil"/>
              <w:bottom w:val="nil"/>
              <w:right w:val="nil"/>
            </w:tcBorders>
            <w:shd w:val="clear" w:color="auto" w:fill="auto"/>
            <w:vAlign w:val="center"/>
          </w:tcPr>
          <w:p>
            <w:pPr>
              <w:widowControl/>
              <w:ind w:right="1260" w:rightChars="60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16</w:t>
            </w:r>
          </w:p>
        </w:tc>
      </w:tr>
      <w:tr>
        <w:tblPrEx>
          <w:tblCellMar>
            <w:top w:w="0" w:type="dxa"/>
            <w:left w:w="108" w:type="dxa"/>
            <w:bottom w:w="0" w:type="dxa"/>
            <w:right w:w="108" w:type="dxa"/>
          </w:tblCellMar>
        </w:tblPrEx>
        <w:trPr>
          <w:trHeight w:val="255" w:hRule="exact"/>
        </w:trPr>
        <w:tc>
          <w:tcPr>
            <w:tcW w:w="4176" w:type="dxa"/>
            <w:tcBorders>
              <w:top w:val="nil"/>
              <w:left w:val="nil"/>
              <w:bottom w:val="nil"/>
              <w:right w:val="single" w:color="000000"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集体企业</w:t>
            </w:r>
          </w:p>
        </w:tc>
        <w:tc>
          <w:tcPr>
            <w:tcW w:w="3849" w:type="dxa"/>
            <w:tcBorders>
              <w:top w:val="nil"/>
              <w:left w:val="nil"/>
              <w:bottom w:val="nil"/>
              <w:right w:val="nil"/>
            </w:tcBorders>
            <w:shd w:val="clear" w:color="auto" w:fill="auto"/>
            <w:vAlign w:val="center"/>
          </w:tcPr>
          <w:p>
            <w:pPr>
              <w:widowControl/>
              <w:ind w:right="1260" w:rightChars="60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43</w:t>
            </w:r>
          </w:p>
        </w:tc>
      </w:tr>
      <w:tr>
        <w:tblPrEx>
          <w:tblCellMar>
            <w:top w:w="0" w:type="dxa"/>
            <w:left w:w="108" w:type="dxa"/>
            <w:bottom w:w="0" w:type="dxa"/>
            <w:right w:w="108" w:type="dxa"/>
          </w:tblCellMar>
        </w:tblPrEx>
        <w:trPr>
          <w:trHeight w:val="255" w:hRule="exact"/>
        </w:trPr>
        <w:tc>
          <w:tcPr>
            <w:tcW w:w="4176" w:type="dxa"/>
            <w:tcBorders>
              <w:top w:val="nil"/>
              <w:left w:val="nil"/>
              <w:bottom w:val="nil"/>
              <w:right w:val="single" w:color="000000"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股份合作企业</w:t>
            </w:r>
          </w:p>
        </w:tc>
        <w:tc>
          <w:tcPr>
            <w:tcW w:w="3849" w:type="dxa"/>
            <w:tcBorders>
              <w:top w:val="nil"/>
              <w:left w:val="nil"/>
              <w:bottom w:val="nil"/>
              <w:right w:val="nil"/>
            </w:tcBorders>
            <w:shd w:val="clear" w:color="auto" w:fill="auto"/>
            <w:vAlign w:val="center"/>
          </w:tcPr>
          <w:p>
            <w:pPr>
              <w:widowControl/>
              <w:ind w:right="1260" w:rightChars="60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9</w:t>
            </w:r>
          </w:p>
        </w:tc>
      </w:tr>
      <w:tr>
        <w:tblPrEx>
          <w:tblCellMar>
            <w:top w:w="0" w:type="dxa"/>
            <w:left w:w="108" w:type="dxa"/>
            <w:bottom w:w="0" w:type="dxa"/>
            <w:right w:w="108" w:type="dxa"/>
          </w:tblCellMar>
        </w:tblPrEx>
        <w:trPr>
          <w:trHeight w:val="255" w:hRule="exact"/>
        </w:trPr>
        <w:tc>
          <w:tcPr>
            <w:tcW w:w="4176" w:type="dxa"/>
            <w:tcBorders>
              <w:top w:val="nil"/>
              <w:left w:val="nil"/>
              <w:bottom w:val="nil"/>
              <w:right w:val="single" w:color="000000"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联营企业</w:t>
            </w:r>
          </w:p>
        </w:tc>
        <w:tc>
          <w:tcPr>
            <w:tcW w:w="3849" w:type="dxa"/>
            <w:tcBorders>
              <w:top w:val="nil"/>
              <w:left w:val="nil"/>
              <w:bottom w:val="nil"/>
              <w:right w:val="nil"/>
            </w:tcBorders>
            <w:shd w:val="clear" w:color="auto" w:fill="auto"/>
            <w:vAlign w:val="center"/>
          </w:tcPr>
          <w:p>
            <w:pPr>
              <w:widowControl/>
              <w:ind w:right="1260" w:rightChars="60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4</w:t>
            </w:r>
          </w:p>
        </w:tc>
      </w:tr>
      <w:tr>
        <w:tblPrEx>
          <w:tblCellMar>
            <w:top w:w="0" w:type="dxa"/>
            <w:left w:w="108" w:type="dxa"/>
            <w:bottom w:w="0" w:type="dxa"/>
            <w:right w:w="108" w:type="dxa"/>
          </w:tblCellMar>
        </w:tblPrEx>
        <w:trPr>
          <w:trHeight w:val="255" w:hRule="exact"/>
        </w:trPr>
        <w:tc>
          <w:tcPr>
            <w:tcW w:w="4176" w:type="dxa"/>
            <w:tcBorders>
              <w:top w:val="nil"/>
              <w:left w:val="nil"/>
              <w:bottom w:val="nil"/>
              <w:right w:val="single" w:color="000000"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有限责任公司</w:t>
            </w:r>
          </w:p>
        </w:tc>
        <w:tc>
          <w:tcPr>
            <w:tcW w:w="3849" w:type="dxa"/>
            <w:tcBorders>
              <w:top w:val="nil"/>
              <w:left w:val="nil"/>
              <w:bottom w:val="nil"/>
              <w:right w:val="nil"/>
            </w:tcBorders>
            <w:shd w:val="clear" w:color="auto" w:fill="auto"/>
            <w:vAlign w:val="center"/>
          </w:tcPr>
          <w:p>
            <w:pPr>
              <w:widowControl/>
              <w:ind w:right="1260" w:rightChars="60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405</w:t>
            </w:r>
          </w:p>
        </w:tc>
      </w:tr>
      <w:tr>
        <w:tblPrEx>
          <w:tblCellMar>
            <w:top w:w="0" w:type="dxa"/>
            <w:left w:w="108" w:type="dxa"/>
            <w:bottom w:w="0" w:type="dxa"/>
            <w:right w:w="108" w:type="dxa"/>
          </w:tblCellMar>
        </w:tblPrEx>
        <w:trPr>
          <w:trHeight w:val="255" w:hRule="exact"/>
        </w:trPr>
        <w:tc>
          <w:tcPr>
            <w:tcW w:w="4176" w:type="dxa"/>
            <w:tcBorders>
              <w:top w:val="nil"/>
              <w:left w:val="nil"/>
              <w:bottom w:val="nil"/>
              <w:right w:val="single" w:color="000000"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股份有限公司</w:t>
            </w:r>
          </w:p>
        </w:tc>
        <w:tc>
          <w:tcPr>
            <w:tcW w:w="3849" w:type="dxa"/>
            <w:tcBorders>
              <w:top w:val="nil"/>
              <w:left w:val="nil"/>
              <w:bottom w:val="nil"/>
              <w:right w:val="nil"/>
            </w:tcBorders>
            <w:shd w:val="clear" w:color="auto" w:fill="auto"/>
            <w:vAlign w:val="center"/>
          </w:tcPr>
          <w:p>
            <w:pPr>
              <w:widowControl/>
              <w:ind w:right="1260" w:rightChars="60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58</w:t>
            </w:r>
          </w:p>
        </w:tc>
      </w:tr>
      <w:tr>
        <w:tblPrEx>
          <w:tblCellMar>
            <w:top w:w="0" w:type="dxa"/>
            <w:left w:w="108" w:type="dxa"/>
            <w:bottom w:w="0" w:type="dxa"/>
            <w:right w:w="108" w:type="dxa"/>
          </w:tblCellMar>
        </w:tblPrEx>
        <w:trPr>
          <w:trHeight w:val="255" w:hRule="exact"/>
        </w:trPr>
        <w:tc>
          <w:tcPr>
            <w:tcW w:w="4176" w:type="dxa"/>
            <w:tcBorders>
              <w:top w:val="nil"/>
              <w:left w:val="nil"/>
              <w:bottom w:val="nil"/>
              <w:right w:val="single" w:color="000000"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私营企业</w:t>
            </w:r>
          </w:p>
        </w:tc>
        <w:tc>
          <w:tcPr>
            <w:tcW w:w="3849" w:type="dxa"/>
            <w:tcBorders>
              <w:top w:val="nil"/>
              <w:left w:val="nil"/>
              <w:bottom w:val="nil"/>
              <w:right w:val="nil"/>
            </w:tcBorders>
            <w:shd w:val="clear" w:color="auto" w:fill="auto"/>
            <w:vAlign w:val="center"/>
          </w:tcPr>
          <w:p>
            <w:pPr>
              <w:widowControl/>
              <w:ind w:right="1260" w:rightChars="60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2059</w:t>
            </w:r>
          </w:p>
        </w:tc>
      </w:tr>
      <w:tr>
        <w:tblPrEx>
          <w:tblCellMar>
            <w:top w:w="0" w:type="dxa"/>
            <w:left w:w="108" w:type="dxa"/>
            <w:bottom w:w="0" w:type="dxa"/>
            <w:right w:w="108" w:type="dxa"/>
          </w:tblCellMar>
        </w:tblPrEx>
        <w:trPr>
          <w:trHeight w:val="255" w:hRule="exact"/>
        </w:trPr>
        <w:tc>
          <w:tcPr>
            <w:tcW w:w="4176" w:type="dxa"/>
            <w:tcBorders>
              <w:top w:val="nil"/>
              <w:left w:val="nil"/>
              <w:bottom w:val="nil"/>
              <w:right w:val="single" w:color="000000"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其他企业</w:t>
            </w:r>
          </w:p>
        </w:tc>
        <w:tc>
          <w:tcPr>
            <w:tcW w:w="3849" w:type="dxa"/>
            <w:tcBorders>
              <w:top w:val="nil"/>
              <w:left w:val="nil"/>
              <w:bottom w:val="nil"/>
              <w:right w:val="nil"/>
            </w:tcBorders>
            <w:shd w:val="clear" w:color="auto" w:fill="auto"/>
            <w:vAlign w:val="center"/>
          </w:tcPr>
          <w:p>
            <w:pPr>
              <w:widowControl/>
              <w:ind w:right="1260" w:rightChars="60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91</w:t>
            </w:r>
          </w:p>
        </w:tc>
      </w:tr>
      <w:tr>
        <w:tblPrEx>
          <w:tblCellMar>
            <w:top w:w="0" w:type="dxa"/>
            <w:left w:w="108" w:type="dxa"/>
            <w:bottom w:w="0" w:type="dxa"/>
            <w:right w:w="108" w:type="dxa"/>
          </w:tblCellMar>
        </w:tblPrEx>
        <w:trPr>
          <w:trHeight w:val="255" w:hRule="exact"/>
        </w:trPr>
        <w:tc>
          <w:tcPr>
            <w:tcW w:w="4176" w:type="dxa"/>
            <w:tcBorders>
              <w:top w:val="nil"/>
              <w:left w:val="nil"/>
              <w:bottom w:val="nil"/>
              <w:right w:val="single" w:color="000000" w:sz="8" w:space="0"/>
            </w:tcBorders>
            <w:shd w:val="clear" w:color="auto" w:fill="auto"/>
            <w:vAlign w:val="center"/>
          </w:tcPr>
          <w:p>
            <w:pPr>
              <w:widowControl/>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港、澳、台商投资企业</w:t>
            </w:r>
          </w:p>
        </w:tc>
        <w:tc>
          <w:tcPr>
            <w:tcW w:w="3849" w:type="dxa"/>
            <w:tcBorders>
              <w:top w:val="nil"/>
              <w:left w:val="nil"/>
              <w:bottom w:val="nil"/>
              <w:right w:val="nil"/>
            </w:tcBorders>
            <w:shd w:val="clear" w:color="auto" w:fill="auto"/>
            <w:vAlign w:val="center"/>
          </w:tcPr>
          <w:p>
            <w:pPr>
              <w:widowControl/>
              <w:ind w:right="1260" w:rightChars="600"/>
              <w:jc w:val="right"/>
              <w:rPr>
                <w:rFonts w:ascii="仿宋_GB2312" w:hAnsi="Times New Roman" w:eastAsia="仿宋_GB2312"/>
                <w:b/>
                <w:bCs/>
                <w:color w:val="000000"/>
                <w:kern w:val="0"/>
                <w:szCs w:val="21"/>
              </w:rPr>
            </w:pPr>
            <w:r>
              <w:rPr>
                <w:rFonts w:hint="eastAsia" w:ascii="仿宋_GB2312" w:hAnsi="Times New Roman" w:eastAsia="仿宋_GB2312"/>
                <w:b/>
                <w:bCs/>
                <w:color w:val="000000"/>
                <w:kern w:val="0"/>
                <w:szCs w:val="21"/>
              </w:rPr>
              <w:t>12</w:t>
            </w:r>
          </w:p>
        </w:tc>
      </w:tr>
      <w:tr>
        <w:tblPrEx>
          <w:tblCellMar>
            <w:top w:w="0" w:type="dxa"/>
            <w:left w:w="108" w:type="dxa"/>
            <w:bottom w:w="0" w:type="dxa"/>
            <w:right w:w="108" w:type="dxa"/>
          </w:tblCellMar>
        </w:tblPrEx>
        <w:trPr>
          <w:trHeight w:val="255" w:hRule="exact"/>
        </w:trPr>
        <w:tc>
          <w:tcPr>
            <w:tcW w:w="4176" w:type="dxa"/>
            <w:tcBorders>
              <w:top w:val="nil"/>
              <w:left w:val="nil"/>
              <w:bottom w:val="single" w:color="000000" w:sz="12" w:space="0"/>
              <w:right w:val="single" w:color="000000" w:sz="8" w:space="0"/>
            </w:tcBorders>
            <w:shd w:val="clear" w:color="auto" w:fill="auto"/>
            <w:vAlign w:val="center"/>
          </w:tcPr>
          <w:p>
            <w:pPr>
              <w:widowControl/>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外商投资企业</w:t>
            </w:r>
          </w:p>
        </w:tc>
        <w:tc>
          <w:tcPr>
            <w:tcW w:w="3849" w:type="dxa"/>
            <w:tcBorders>
              <w:top w:val="nil"/>
              <w:left w:val="nil"/>
              <w:bottom w:val="single" w:color="000000" w:sz="12" w:space="0"/>
              <w:right w:val="nil"/>
            </w:tcBorders>
            <w:shd w:val="clear" w:color="auto" w:fill="auto"/>
            <w:vAlign w:val="center"/>
          </w:tcPr>
          <w:p>
            <w:pPr>
              <w:widowControl/>
              <w:ind w:right="1260" w:rightChars="600"/>
              <w:jc w:val="right"/>
              <w:rPr>
                <w:rFonts w:ascii="仿宋_GB2312" w:hAnsi="Times New Roman" w:eastAsia="仿宋_GB2312"/>
                <w:b/>
                <w:bCs/>
                <w:color w:val="000000"/>
                <w:kern w:val="0"/>
                <w:szCs w:val="21"/>
              </w:rPr>
            </w:pPr>
            <w:r>
              <w:rPr>
                <w:rFonts w:hint="eastAsia" w:ascii="仿宋_GB2312" w:hAnsi="Times New Roman" w:eastAsia="仿宋_GB2312"/>
                <w:b/>
                <w:bCs/>
                <w:color w:val="000000"/>
                <w:kern w:val="0"/>
                <w:szCs w:val="21"/>
              </w:rPr>
              <w:t>7</w:t>
            </w:r>
          </w:p>
        </w:tc>
      </w:tr>
    </w:tbl>
    <w:p>
      <w:pPr>
        <w:adjustRightIn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在工业企业法人单位中，采矿业270个，制造业2054个，电力、热力、燃气及水生产和供应业380个，分别占10.0%、76.0%和14.1%。在工业行业大类中，非金属矿物制品业行业,电力、热力生产和供应业行业,农副食品加工业行业企业法人单位数位居前三位，分别占13.1%、10.8%和7.0%（详见表3-2）。</w:t>
      </w:r>
    </w:p>
    <w:p>
      <w:pPr>
        <w:adjustRightInd w:val="0"/>
        <w:spacing w:line="540" w:lineRule="exact"/>
        <w:ind w:firstLine="640" w:firstLineChars="200"/>
        <w:rPr>
          <w:rFonts w:ascii="仿宋_GB2312" w:eastAsia="仿宋_GB2312"/>
          <w:kern w:val="0"/>
          <w:sz w:val="32"/>
          <w:szCs w:val="32"/>
        </w:rPr>
      </w:pPr>
    </w:p>
    <w:tbl>
      <w:tblPr>
        <w:tblStyle w:val="4"/>
        <w:tblW w:w="8753" w:type="dxa"/>
        <w:tblInd w:w="0" w:type="dxa"/>
        <w:tblLayout w:type="fixed"/>
        <w:tblCellMar>
          <w:top w:w="0" w:type="dxa"/>
          <w:left w:w="108" w:type="dxa"/>
          <w:bottom w:w="0" w:type="dxa"/>
          <w:right w:w="108" w:type="dxa"/>
        </w:tblCellMar>
      </w:tblPr>
      <w:tblGrid>
        <w:gridCol w:w="4934"/>
        <w:gridCol w:w="3819"/>
      </w:tblGrid>
      <w:tr>
        <w:tblPrEx>
          <w:tblCellMar>
            <w:top w:w="0" w:type="dxa"/>
            <w:left w:w="108" w:type="dxa"/>
            <w:bottom w:w="0" w:type="dxa"/>
            <w:right w:w="108" w:type="dxa"/>
          </w:tblCellMar>
        </w:tblPrEx>
        <w:trPr>
          <w:trHeight w:val="330" w:hRule="atLeast"/>
        </w:trPr>
        <w:tc>
          <w:tcPr>
            <w:tcW w:w="8753" w:type="dxa"/>
            <w:gridSpan w:val="2"/>
            <w:tcBorders>
              <w:top w:val="nil"/>
              <w:left w:val="nil"/>
              <w:bottom w:val="single" w:color="000000" w:sz="12" w:space="0"/>
              <w:right w:val="nil"/>
            </w:tcBorders>
            <w:shd w:val="clear" w:color="auto" w:fill="auto"/>
            <w:noWrap/>
            <w:vAlign w:val="center"/>
          </w:tcPr>
          <w:p>
            <w:pPr>
              <w:widowControl/>
              <w:spacing w:line="560" w:lineRule="exact"/>
              <w:ind w:left="57" w:right="57"/>
              <w:jc w:val="center"/>
              <w:rPr>
                <w:rFonts w:ascii="黑体" w:hAnsi="黑体" w:eastAsia="黑体" w:cs="宋体"/>
                <w:color w:val="000000"/>
                <w:kern w:val="0"/>
                <w:sz w:val="24"/>
                <w:szCs w:val="24"/>
              </w:rPr>
            </w:pPr>
            <w:r>
              <w:rPr>
                <w:rFonts w:hint="eastAsia" w:ascii="黑体" w:hAnsi="黑体" w:eastAsia="黑体"/>
                <w:kern w:val="0"/>
                <w:sz w:val="24"/>
                <w:szCs w:val="24"/>
              </w:rPr>
              <w:t>表3-2 按行业大类分组的工业企业法人单位</w:t>
            </w:r>
          </w:p>
        </w:tc>
      </w:tr>
      <w:tr>
        <w:tblPrEx>
          <w:tblCellMar>
            <w:top w:w="0" w:type="dxa"/>
            <w:left w:w="108" w:type="dxa"/>
            <w:bottom w:w="0" w:type="dxa"/>
            <w:right w:w="108" w:type="dxa"/>
          </w:tblCellMar>
        </w:tblPrEx>
        <w:trPr>
          <w:trHeight w:val="270" w:hRule="atLeast"/>
        </w:trPr>
        <w:tc>
          <w:tcPr>
            <w:tcW w:w="4934" w:type="dxa"/>
            <w:tcBorders>
              <w:top w:val="single" w:color="000000" w:sz="12" w:space="0"/>
              <w:left w:val="nil"/>
              <w:bottom w:val="single" w:color="000000" w:sz="8" w:space="0"/>
              <w:right w:val="single" w:color="000000" w:sz="8" w:space="0"/>
            </w:tcBorders>
            <w:shd w:val="clear" w:color="auto" w:fill="auto"/>
            <w:vAlign w:val="center"/>
          </w:tcPr>
          <w:p>
            <w:pPr>
              <w:widowControl/>
              <w:jc w:val="center"/>
              <w:rPr>
                <w:rFonts w:ascii="黑体" w:hAnsi="黑体" w:eastAsia="黑体" w:cs="宋体"/>
                <w:color w:val="000000"/>
                <w:kern w:val="0"/>
                <w:szCs w:val="21"/>
              </w:rPr>
            </w:pPr>
          </w:p>
        </w:tc>
        <w:tc>
          <w:tcPr>
            <w:tcW w:w="3819" w:type="dxa"/>
            <w:tcBorders>
              <w:top w:val="single" w:color="000000" w:sz="12" w:space="0"/>
              <w:left w:val="nil"/>
              <w:bottom w:val="single" w:color="000000" w:sz="8" w:space="0"/>
              <w:right w:val="nil"/>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企业法人单位（个）</w:t>
            </w:r>
          </w:p>
        </w:tc>
      </w:tr>
      <w:tr>
        <w:tblPrEx>
          <w:tblCellMar>
            <w:top w:w="0" w:type="dxa"/>
            <w:left w:w="108" w:type="dxa"/>
            <w:bottom w:w="0" w:type="dxa"/>
            <w:right w:w="108" w:type="dxa"/>
          </w:tblCellMar>
        </w:tblPrEx>
        <w:trPr>
          <w:trHeight w:val="285" w:hRule="atLeast"/>
        </w:trPr>
        <w:tc>
          <w:tcPr>
            <w:tcW w:w="4934" w:type="dxa"/>
            <w:tcBorders>
              <w:top w:val="nil"/>
              <w:left w:val="nil"/>
              <w:bottom w:val="nil"/>
              <w:right w:val="single" w:color="000000" w:sz="8" w:space="0"/>
            </w:tcBorders>
            <w:shd w:val="clear" w:color="auto" w:fill="auto"/>
            <w:vAlign w:val="center"/>
          </w:tcPr>
          <w:p>
            <w:pPr>
              <w:widowControl/>
              <w:spacing w:line="24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w:t>
            </w:r>
            <w:r>
              <w:rPr>
                <w:rFonts w:hint="eastAsia" w:ascii="仿宋_GB2312" w:eastAsia="仿宋_GB2312" w:cs="Calibri"/>
                <w:b/>
                <w:bCs/>
                <w:color w:val="000000"/>
                <w:kern w:val="0"/>
                <w:szCs w:val="21"/>
              </w:rPr>
              <w:t xml:space="preserve"> </w:t>
            </w:r>
            <w:r>
              <w:rPr>
                <w:rFonts w:hint="eastAsia" w:ascii="仿宋_GB2312" w:hAnsi="宋体" w:eastAsia="仿宋_GB2312" w:cs="宋体"/>
                <w:b/>
                <w:bCs/>
                <w:color w:val="000000"/>
                <w:kern w:val="0"/>
                <w:szCs w:val="21"/>
              </w:rPr>
              <w:t>计</w:t>
            </w:r>
          </w:p>
        </w:tc>
        <w:tc>
          <w:tcPr>
            <w:tcW w:w="3819" w:type="dxa"/>
            <w:tcBorders>
              <w:top w:val="nil"/>
              <w:left w:val="nil"/>
              <w:bottom w:val="nil"/>
              <w:right w:val="nil"/>
            </w:tcBorders>
            <w:shd w:val="clear" w:color="auto" w:fill="auto"/>
            <w:vAlign w:val="center"/>
          </w:tcPr>
          <w:p>
            <w:pPr>
              <w:widowControl/>
              <w:spacing w:line="240" w:lineRule="exact"/>
              <w:ind w:right="1155" w:rightChars="550"/>
              <w:jc w:val="right"/>
              <w:rPr>
                <w:rFonts w:ascii="仿宋_GB2312" w:hAnsi="Times New Roman" w:eastAsia="仿宋_GB2312"/>
                <w:b/>
                <w:color w:val="000000"/>
                <w:kern w:val="0"/>
                <w:szCs w:val="21"/>
              </w:rPr>
            </w:pPr>
            <w:r>
              <w:rPr>
                <w:rFonts w:hint="eastAsia" w:ascii="仿宋_GB2312" w:hAnsi="Times New Roman" w:eastAsia="仿宋_GB2312"/>
                <w:b/>
                <w:color w:val="000000"/>
                <w:kern w:val="0"/>
                <w:szCs w:val="21"/>
              </w:rPr>
              <w:t>2704</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煤炭开采和洗选业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63</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黑色金属矿采选业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2</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有色金属矿采选业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4</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非金属矿采选业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187</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开采专业及辅助性活动</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9</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其他采矿业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5</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农副食品加工业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188</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食品制造业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91</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酒、饮料和精制茶制造业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187</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烟草制品业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1</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纺织业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93</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纺织服装、服饰业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10</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皮革、毛皮、羽毛及其制品和制鞋业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11</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木材加工和木、竹、藤、棕、草制品业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119</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家具制造业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50</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造纸和纸制品业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67</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印刷和记录媒介复制业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53</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文教、工美、体育和娱乐用品制造业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21</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石油、煤炭及其他燃料加工业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16</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化学原料和化学制品制造业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94</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医药制造业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31</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橡胶和塑料制品业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44</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非金属矿物制品业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353</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黑色金属冶炼和压延加工业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16</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有色金属冶炼和压延加工业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22</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金属制品业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126</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通用设备制造业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156</w:t>
            </w:r>
          </w:p>
        </w:tc>
      </w:tr>
      <w:tr>
        <w:tblPrEx>
          <w:tblCellMar>
            <w:top w:w="0" w:type="dxa"/>
            <w:left w:w="108" w:type="dxa"/>
            <w:bottom w:w="0" w:type="dxa"/>
            <w:right w:w="108" w:type="dxa"/>
          </w:tblCellMar>
        </w:tblPrEx>
        <w:trPr>
          <w:trHeight w:val="270" w:hRule="atLeast"/>
        </w:trPr>
        <w:tc>
          <w:tcPr>
            <w:tcW w:w="4934" w:type="dxa"/>
            <w:tcBorders>
              <w:top w:val="nil"/>
              <w:left w:val="nil"/>
              <w:bottom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专用设备制造业</w:t>
            </w:r>
          </w:p>
        </w:tc>
        <w:tc>
          <w:tcPr>
            <w:tcW w:w="3819" w:type="dxa"/>
            <w:tcBorders>
              <w:top w:val="nil"/>
              <w:left w:val="nil"/>
              <w:bottom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134</w:t>
            </w:r>
          </w:p>
        </w:tc>
      </w:tr>
      <w:tr>
        <w:tblPrEx>
          <w:tblCellMar>
            <w:top w:w="0" w:type="dxa"/>
            <w:left w:w="108" w:type="dxa"/>
            <w:bottom w:w="0" w:type="dxa"/>
            <w:right w:w="108" w:type="dxa"/>
          </w:tblCellMar>
        </w:tblPrEx>
        <w:trPr>
          <w:trHeight w:val="270" w:hRule="atLeast"/>
        </w:trPr>
        <w:tc>
          <w:tcPr>
            <w:tcW w:w="4934" w:type="dxa"/>
            <w:tcBorders>
              <w:top w:val="nil"/>
              <w:left w:val="nil"/>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汽车制造业</w:t>
            </w:r>
          </w:p>
        </w:tc>
        <w:tc>
          <w:tcPr>
            <w:tcW w:w="3819" w:type="dxa"/>
            <w:tcBorders>
              <w:top w:val="nil"/>
              <w:left w:val="nil"/>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7</w:t>
            </w:r>
          </w:p>
        </w:tc>
      </w:tr>
      <w:tr>
        <w:tblPrEx>
          <w:tblCellMar>
            <w:top w:w="0" w:type="dxa"/>
            <w:left w:w="108" w:type="dxa"/>
            <w:bottom w:w="0" w:type="dxa"/>
            <w:right w:w="108" w:type="dxa"/>
          </w:tblCellMar>
        </w:tblPrEx>
        <w:trPr>
          <w:trHeight w:val="270" w:hRule="atLeast"/>
        </w:trPr>
        <w:tc>
          <w:tcPr>
            <w:tcW w:w="4934" w:type="dxa"/>
            <w:tcBorders>
              <w:top w:val="nil"/>
              <w:left w:val="nil"/>
              <w:bottom w:val="single" w:color="auto" w:sz="12" w:space="0"/>
              <w:right w:val="single" w:color="000000" w:sz="8" w:space="0"/>
            </w:tcBorders>
            <w:shd w:val="clear" w:color="auto" w:fill="auto"/>
            <w:noWrap/>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铁路、船舶、航空航天和其他运输设备制造业</w:t>
            </w:r>
          </w:p>
        </w:tc>
        <w:tc>
          <w:tcPr>
            <w:tcW w:w="3819" w:type="dxa"/>
            <w:tcBorders>
              <w:top w:val="nil"/>
              <w:left w:val="nil"/>
              <w:bottom w:val="single" w:color="auto" w:sz="12" w:space="0"/>
              <w:right w:val="nil"/>
            </w:tcBorders>
            <w:shd w:val="clear" w:color="auto" w:fill="auto"/>
            <w:noWrap/>
            <w:vAlign w:val="center"/>
          </w:tcPr>
          <w:p>
            <w:pPr>
              <w:widowControl/>
              <w:spacing w:line="240" w:lineRule="exact"/>
              <w:ind w:right="1155" w:rightChars="55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6</w:t>
            </w:r>
          </w:p>
        </w:tc>
      </w:tr>
    </w:tbl>
    <w:p>
      <w:pPr>
        <w:widowControl/>
        <w:spacing w:line="440" w:lineRule="exact"/>
        <w:rPr>
          <w:rFonts w:ascii="仿宋_GB2312" w:eastAsia="仿宋_GB2312"/>
          <w:kern w:val="0"/>
          <w:sz w:val="32"/>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0"/>
        <w:gridCol w:w="4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nil"/>
              <w:left w:val="nil"/>
              <w:bottom w:val="single" w:color="auto" w:sz="12" w:space="0"/>
              <w:right w:val="nil"/>
            </w:tcBorders>
            <w:vAlign w:val="center"/>
          </w:tcPr>
          <w:p>
            <w:pPr>
              <w:widowControl/>
              <w:spacing w:line="240" w:lineRule="exact"/>
              <w:jc w:val="left"/>
              <w:rPr>
                <w:rFonts w:ascii="黑体" w:hAnsi="黑体" w:eastAsia="黑体" w:cs="宋体"/>
                <w:color w:val="000000"/>
                <w:kern w:val="0"/>
                <w:szCs w:val="21"/>
              </w:rPr>
            </w:pPr>
          </w:p>
        </w:tc>
        <w:tc>
          <w:tcPr>
            <w:tcW w:w="4014" w:type="dxa"/>
            <w:tcBorders>
              <w:top w:val="nil"/>
              <w:left w:val="nil"/>
              <w:bottom w:val="single" w:color="auto" w:sz="12" w:space="0"/>
              <w:right w:val="nil"/>
            </w:tcBorders>
            <w:vAlign w:val="center"/>
          </w:tcPr>
          <w:p>
            <w:pPr>
              <w:widowControl/>
              <w:spacing w:line="240" w:lineRule="exact"/>
              <w:jc w:val="right"/>
              <w:rPr>
                <w:rFonts w:ascii="黑体" w:hAnsi="黑体" w:eastAsia="黑体"/>
                <w:color w:val="000000"/>
                <w:kern w:val="0"/>
                <w:szCs w:val="21"/>
              </w:rPr>
            </w:pPr>
            <w:r>
              <w:rPr>
                <w:rFonts w:hint="eastAsia" w:ascii="黑体" w:hAnsi="黑体" w:eastAsia="黑体"/>
                <w:color w:val="000000"/>
                <w:kern w:val="0"/>
                <w:szCs w:val="21"/>
              </w:rPr>
              <w:t>续表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single" w:color="auto" w:sz="12" w:space="0"/>
              <w:left w:val="nil"/>
              <w:bottom w:val="single" w:color="auto" w:sz="4" w:space="0"/>
            </w:tcBorders>
            <w:vAlign w:val="center"/>
          </w:tcPr>
          <w:p>
            <w:pPr>
              <w:widowControl/>
              <w:spacing w:line="240" w:lineRule="exact"/>
              <w:jc w:val="left"/>
              <w:rPr>
                <w:rFonts w:ascii="黑体" w:hAnsi="黑体" w:eastAsia="黑体" w:cs="宋体"/>
                <w:color w:val="000000"/>
                <w:kern w:val="0"/>
                <w:szCs w:val="21"/>
              </w:rPr>
            </w:pPr>
          </w:p>
        </w:tc>
        <w:tc>
          <w:tcPr>
            <w:tcW w:w="4014" w:type="dxa"/>
            <w:tcBorders>
              <w:top w:val="single" w:color="auto" w:sz="12" w:space="0"/>
              <w:bottom w:val="single" w:color="auto" w:sz="4" w:space="0"/>
              <w:right w:val="nil"/>
            </w:tcBorders>
            <w:vAlign w:val="center"/>
          </w:tcPr>
          <w:p>
            <w:pPr>
              <w:widowControl/>
              <w:spacing w:line="240" w:lineRule="exact"/>
              <w:jc w:val="center"/>
              <w:rPr>
                <w:rFonts w:ascii="黑体" w:hAnsi="黑体" w:eastAsia="黑体"/>
                <w:color w:val="000000"/>
                <w:kern w:val="0"/>
                <w:szCs w:val="21"/>
              </w:rPr>
            </w:pPr>
            <w:r>
              <w:rPr>
                <w:rFonts w:hint="eastAsia" w:ascii="黑体" w:hAnsi="黑体" w:eastAsia="黑体" w:cs="宋体"/>
                <w:bCs/>
                <w:color w:val="000000"/>
                <w:kern w:val="0"/>
                <w:szCs w:val="21"/>
              </w:rPr>
              <w:t xml:space="preserve"> 企业法人单位（个）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left w:val="nil"/>
              <w:bottom w:val="nil"/>
            </w:tcBorders>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电气机械和器材制造业</w:t>
            </w:r>
          </w:p>
        </w:tc>
        <w:tc>
          <w:tcPr>
            <w:tcW w:w="4014" w:type="dxa"/>
            <w:tcBorders>
              <w:bottom w:val="nil"/>
              <w:right w:val="nil"/>
            </w:tcBorders>
            <w:vAlign w:val="center"/>
          </w:tcPr>
          <w:p>
            <w:pPr>
              <w:widowControl/>
              <w:spacing w:line="240" w:lineRule="exact"/>
              <w:ind w:right="1260" w:rightChars="60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nil"/>
              <w:left w:val="nil"/>
              <w:bottom w:val="nil"/>
            </w:tcBorders>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计算机、通信和其他电子设备制造业</w:t>
            </w:r>
          </w:p>
        </w:tc>
        <w:tc>
          <w:tcPr>
            <w:tcW w:w="4014" w:type="dxa"/>
            <w:tcBorders>
              <w:top w:val="nil"/>
              <w:bottom w:val="nil"/>
              <w:right w:val="nil"/>
            </w:tcBorders>
            <w:vAlign w:val="center"/>
          </w:tcPr>
          <w:p>
            <w:pPr>
              <w:widowControl/>
              <w:spacing w:line="240" w:lineRule="exact"/>
              <w:ind w:right="1260" w:rightChars="60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4820" w:type="dxa"/>
            <w:tcBorders>
              <w:top w:val="nil"/>
              <w:left w:val="nil"/>
              <w:bottom w:val="nil"/>
            </w:tcBorders>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仪器仪表制造业</w:t>
            </w:r>
          </w:p>
        </w:tc>
        <w:tc>
          <w:tcPr>
            <w:tcW w:w="4014" w:type="dxa"/>
            <w:tcBorders>
              <w:top w:val="nil"/>
              <w:bottom w:val="nil"/>
              <w:right w:val="nil"/>
            </w:tcBorders>
            <w:vAlign w:val="center"/>
          </w:tcPr>
          <w:p>
            <w:pPr>
              <w:widowControl/>
              <w:spacing w:line="240" w:lineRule="exact"/>
              <w:ind w:right="1260" w:rightChars="60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nil"/>
              <w:left w:val="nil"/>
              <w:bottom w:val="nil"/>
            </w:tcBorders>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其他制造业</w:t>
            </w:r>
          </w:p>
        </w:tc>
        <w:tc>
          <w:tcPr>
            <w:tcW w:w="4014" w:type="dxa"/>
            <w:tcBorders>
              <w:top w:val="nil"/>
              <w:bottom w:val="nil"/>
              <w:right w:val="nil"/>
            </w:tcBorders>
            <w:vAlign w:val="center"/>
          </w:tcPr>
          <w:p>
            <w:pPr>
              <w:widowControl/>
              <w:spacing w:line="240" w:lineRule="exact"/>
              <w:ind w:right="1260" w:rightChars="60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nil"/>
              <w:left w:val="nil"/>
              <w:bottom w:val="nil"/>
            </w:tcBorders>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废弃资源综合利用业 </w:t>
            </w:r>
          </w:p>
        </w:tc>
        <w:tc>
          <w:tcPr>
            <w:tcW w:w="4014" w:type="dxa"/>
            <w:tcBorders>
              <w:top w:val="nil"/>
              <w:bottom w:val="nil"/>
              <w:right w:val="nil"/>
            </w:tcBorders>
            <w:vAlign w:val="center"/>
          </w:tcPr>
          <w:p>
            <w:pPr>
              <w:widowControl/>
              <w:spacing w:line="240" w:lineRule="exact"/>
              <w:ind w:right="1260" w:rightChars="60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nil"/>
              <w:left w:val="nil"/>
              <w:bottom w:val="nil"/>
            </w:tcBorders>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金属制品、机械和设备修理业</w:t>
            </w:r>
          </w:p>
        </w:tc>
        <w:tc>
          <w:tcPr>
            <w:tcW w:w="4014" w:type="dxa"/>
            <w:tcBorders>
              <w:top w:val="nil"/>
              <w:bottom w:val="nil"/>
              <w:right w:val="nil"/>
            </w:tcBorders>
            <w:vAlign w:val="center"/>
          </w:tcPr>
          <w:p>
            <w:pPr>
              <w:widowControl/>
              <w:spacing w:line="240" w:lineRule="exact"/>
              <w:ind w:right="1260" w:rightChars="60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nil"/>
              <w:left w:val="nil"/>
              <w:bottom w:val="nil"/>
            </w:tcBorders>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电力、热力生产和供应业</w:t>
            </w:r>
          </w:p>
        </w:tc>
        <w:tc>
          <w:tcPr>
            <w:tcW w:w="4014" w:type="dxa"/>
            <w:tcBorders>
              <w:top w:val="nil"/>
              <w:bottom w:val="nil"/>
              <w:right w:val="nil"/>
            </w:tcBorders>
            <w:vAlign w:val="center"/>
          </w:tcPr>
          <w:p>
            <w:pPr>
              <w:widowControl/>
              <w:spacing w:line="240" w:lineRule="exact"/>
              <w:ind w:right="1260" w:rightChars="60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nil"/>
              <w:left w:val="nil"/>
              <w:bottom w:val="nil"/>
            </w:tcBorders>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燃气生产和供应业 </w:t>
            </w:r>
          </w:p>
        </w:tc>
        <w:tc>
          <w:tcPr>
            <w:tcW w:w="4014" w:type="dxa"/>
            <w:tcBorders>
              <w:top w:val="nil"/>
              <w:bottom w:val="nil"/>
              <w:right w:val="nil"/>
            </w:tcBorders>
            <w:vAlign w:val="center"/>
          </w:tcPr>
          <w:p>
            <w:pPr>
              <w:widowControl/>
              <w:spacing w:line="240" w:lineRule="exact"/>
              <w:ind w:right="1260" w:rightChars="60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Borders>
              <w:top w:val="nil"/>
              <w:left w:val="nil"/>
              <w:bottom w:val="single" w:color="auto" w:sz="12" w:space="0"/>
            </w:tcBorders>
            <w:vAlign w:val="center"/>
          </w:tcPr>
          <w:p>
            <w:pPr>
              <w:widowControl/>
              <w:spacing w:line="240" w:lineRule="exact"/>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水的生产和供应业 </w:t>
            </w:r>
          </w:p>
        </w:tc>
        <w:tc>
          <w:tcPr>
            <w:tcW w:w="4014" w:type="dxa"/>
            <w:tcBorders>
              <w:top w:val="nil"/>
              <w:bottom w:val="single" w:color="auto" w:sz="12" w:space="0"/>
              <w:right w:val="nil"/>
            </w:tcBorders>
            <w:vAlign w:val="center"/>
          </w:tcPr>
          <w:p>
            <w:pPr>
              <w:widowControl/>
              <w:spacing w:line="240" w:lineRule="exact"/>
              <w:ind w:right="1260" w:rightChars="600"/>
              <w:jc w:val="right"/>
              <w:rPr>
                <w:rFonts w:ascii="仿宋_GB2312" w:hAnsi="Times New Roman" w:eastAsia="仿宋_GB2312"/>
                <w:color w:val="000000"/>
                <w:kern w:val="0"/>
                <w:szCs w:val="21"/>
              </w:rPr>
            </w:pPr>
            <w:r>
              <w:rPr>
                <w:rFonts w:hint="eastAsia" w:ascii="仿宋_GB2312" w:hAnsi="Times New Roman" w:eastAsia="仿宋_GB2312"/>
                <w:color w:val="000000"/>
                <w:kern w:val="0"/>
                <w:szCs w:val="21"/>
              </w:rPr>
              <w:t>59</w:t>
            </w:r>
          </w:p>
        </w:tc>
      </w:tr>
    </w:tbl>
    <w:p>
      <w:pPr>
        <w:widowControl/>
        <w:spacing w:line="440" w:lineRule="exact"/>
        <w:rPr>
          <w:rFonts w:eastAsia="楷体_GB2312"/>
          <w:kern w:val="0"/>
          <w:sz w:val="32"/>
          <w:szCs w:val="32"/>
        </w:rPr>
      </w:pPr>
    </w:p>
    <w:p>
      <w:pPr>
        <w:widowControl/>
        <w:spacing w:line="440" w:lineRule="exact"/>
        <w:ind w:firstLine="640" w:firstLineChars="200"/>
        <w:rPr>
          <w:rFonts w:eastAsia="仿宋_GB2312"/>
          <w:kern w:val="0"/>
          <w:sz w:val="32"/>
          <w:szCs w:val="32"/>
        </w:rPr>
      </w:pPr>
      <w:r>
        <w:rPr>
          <w:rFonts w:eastAsia="楷体_GB2312"/>
          <w:kern w:val="0"/>
          <w:sz w:val="32"/>
          <w:szCs w:val="32"/>
        </w:rPr>
        <w:t>（二）主要经济指标。</w:t>
      </w:r>
    </w:p>
    <w:p>
      <w:pPr>
        <w:adjustRightInd w:val="0"/>
        <w:spacing w:line="520" w:lineRule="exact"/>
        <w:ind w:firstLine="640" w:firstLineChars="200"/>
        <w:rPr>
          <w:rFonts w:ascii="仿宋_GB2312" w:eastAsia="仿宋_GB2312"/>
          <w:kern w:val="0"/>
          <w:sz w:val="32"/>
          <w:szCs w:val="32"/>
        </w:rPr>
      </w:pPr>
      <w:r>
        <w:rPr>
          <w:rFonts w:ascii="仿宋_GB2312" w:eastAsia="仿宋_GB2312"/>
          <w:kern w:val="0"/>
          <w:sz w:val="32"/>
          <w:szCs w:val="32"/>
        </w:rPr>
        <w:t>2018年末，工业企业法人单位资产总计</w:t>
      </w:r>
      <w:r>
        <w:rPr>
          <w:rFonts w:hint="eastAsia" w:ascii="仿宋_GB2312" w:eastAsia="仿宋_GB2312"/>
          <w:kern w:val="0"/>
          <w:sz w:val="32"/>
          <w:szCs w:val="32"/>
        </w:rPr>
        <w:t>2335.76</w:t>
      </w:r>
      <w:r>
        <w:rPr>
          <w:rFonts w:ascii="仿宋_GB2312" w:eastAsia="仿宋_GB2312"/>
          <w:kern w:val="0"/>
          <w:sz w:val="32"/>
          <w:szCs w:val="32"/>
        </w:rPr>
        <w:t>亿元，比 2013年末增长</w:t>
      </w:r>
      <w:r>
        <w:rPr>
          <w:rFonts w:hint="eastAsia" w:ascii="仿宋_GB2312" w:eastAsia="仿宋_GB2312"/>
          <w:kern w:val="0"/>
          <w:sz w:val="32"/>
          <w:szCs w:val="32"/>
        </w:rPr>
        <w:t>10.5</w:t>
      </w:r>
      <w:r>
        <w:rPr>
          <w:rFonts w:ascii="仿宋_GB2312" w:eastAsia="仿宋_GB2312"/>
          <w:kern w:val="0"/>
          <w:sz w:val="32"/>
          <w:szCs w:val="32"/>
        </w:rPr>
        <w:t>%。负债合计</w:t>
      </w:r>
      <w:r>
        <w:rPr>
          <w:rFonts w:hint="eastAsia" w:ascii="仿宋_GB2312" w:eastAsia="仿宋_GB2312"/>
          <w:kern w:val="0"/>
          <w:sz w:val="32"/>
          <w:szCs w:val="32"/>
        </w:rPr>
        <w:t>1379.38</w:t>
      </w:r>
      <w:r>
        <w:rPr>
          <w:rFonts w:ascii="仿宋_GB2312" w:eastAsia="仿宋_GB2312"/>
          <w:kern w:val="0"/>
          <w:sz w:val="32"/>
          <w:szCs w:val="32"/>
        </w:rPr>
        <w:t>亿元。全年实现营业收入</w:t>
      </w:r>
      <w:r>
        <w:rPr>
          <w:rFonts w:hint="eastAsia" w:ascii="仿宋_GB2312" w:eastAsia="仿宋_GB2312"/>
          <w:kern w:val="0"/>
          <w:sz w:val="32"/>
          <w:szCs w:val="32"/>
        </w:rPr>
        <w:t>1679.59</w:t>
      </w:r>
      <w:r>
        <w:rPr>
          <w:rFonts w:ascii="仿宋_GB2312" w:eastAsia="仿宋_GB2312"/>
          <w:kern w:val="0"/>
          <w:sz w:val="32"/>
          <w:szCs w:val="32"/>
        </w:rPr>
        <w:t>亿元（详见表3-3）。</w:t>
      </w:r>
    </w:p>
    <w:p>
      <w:pPr>
        <w:widowControl/>
        <w:spacing w:line="560" w:lineRule="exact"/>
        <w:ind w:left="57" w:right="57"/>
        <w:jc w:val="center"/>
        <w:rPr>
          <w:rFonts w:ascii="Times New Roman" w:hAnsi="Times New Roman" w:eastAsia="黑体"/>
          <w:kern w:val="0"/>
          <w:sz w:val="24"/>
          <w:szCs w:val="24"/>
        </w:rPr>
      </w:pPr>
      <w:r>
        <w:rPr>
          <w:rFonts w:hint="eastAsia" w:ascii="Times New Roman" w:hAnsi="Times New Roman" w:eastAsia="黑体"/>
          <w:kern w:val="0"/>
          <w:sz w:val="24"/>
          <w:szCs w:val="24"/>
        </w:rPr>
        <w:t>表3-3　按行业大类分组的工业企业法人单位主要经济指标</w:t>
      </w:r>
    </w:p>
    <w:tbl>
      <w:tblPr>
        <w:tblStyle w:val="4"/>
        <w:tblW w:w="8760" w:type="dxa"/>
        <w:tblInd w:w="0" w:type="dxa"/>
        <w:tblLayout w:type="autofit"/>
        <w:tblCellMar>
          <w:top w:w="0" w:type="dxa"/>
          <w:left w:w="0" w:type="dxa"/>
          <w:bottom w:w="0" w:type="dxa"/>
          <w:right w:w="0" w:type="dxa"/>
        </w:tblCellMar>
      </w:tblPr>
      <w:tblGrid>
        <w:gridCol w:w="5385"/>
        <w:gridCol w:w="1125"/>
        <w:gridCol w:w="1125"/>
        <w:gridCol w:w="1125"/>
      </w:tblGrid>
      <w:tr>
        <w:tblPrEx>
          <w:tblCellMar>
            <w:top w:w="0" w:type="dxa"/>
            <w:left w:w="0" w:type="dxa"/>
            <w:bottom w:w="0" w:type="dxa"/>
            <w:right w:w="0" w:type="dxa"/>
          </w:tblCellMar>
        </w:tblPrEx>
        <w:trPr>
          <w:trHeight w:val="370" w:hRule="exact"/>
        </w:trPr>
        <w:tc>
          <w:tcPr>
            <w:tcW w:w="5385" w:type="dxa"/>
            <w:vMerge w:val="restart"/>
            <w:tcBorders>
              <w:top w:val="single" w:color="000000" w:sz="12" w:space="0"/>
              <w:left w:val="nil"/>
              <w:bottom w:val="nil"/>
              <w:right w:val="single" w:color="000000" w:sz="4" w:space="0"/>
            </w:tcBorders>
            <w:shd w:val="clear" w:color="auto" w:fill="auto"/>
            <w:tcMar>
              <w:top w:w="15" w:type="dxa"/>
              <w:left w:w="15" w:type="dxa"/>
              <w:right w:w="15" w:type="dxa"/>
            </w:tcMar>
            <w:vAlign w:val="center"/>
          </w:tcPr>
          <w:p>
            <w:pPr>
              <w:spacing w:line="440" w:lineRule="exact"/>
              <w:jc w:val="left"/>
              <w:rPr>
                <w:rFonts w:ascii="黑体" w:hAnsi="黑体" w:eastAsia="黑体" w:cs="新宋体"/>
                <w:color w:val="000000"/>
                <w:szCs w:val="21"/>
              </w:rPr>
            </w:pPr>
          </w:p>
        </w:tc>
        <w:tc>
          <w:tcPr>
            <w:tcW w:w="1125" w:type="dxa"/>
            <w:tcBorders>
              <w:top w:val="single" w:color="000000" w:sz="12"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黑体" w:hAnsi="黑体" w:eastAsia="黑体" w:cs="新宋体"/>
                <w:color w:val="000000"/>
                <w:szCs w:val="21"/>
              </w:rPr>
            </w:pPr>
            <w:r>
              <w:rPr>
                <w:rFonts w:hint="eastAsia" w:ascii="黑体" w:hAnsi="黑体" w:eastAsia="黑体" w:cs="新宋体"/>
                <w:color w:val="000000"/>
                <w:kern w:val="0"/>
                <w:szCs w:val="21"/>
                <w:lang w:bidi="ar"/>
              </w:rPr>
              <w:t>资产总计</w:t>
            </w:r>
          </w:p>
        </w:tc>
        <w:tc>
          <w:tcPr>
            <w:tcW w:w="1125" w:type="dxa"/>
            <w:tcBorders>
              <w:top w:val="single" w:color="000000" w:sz="12"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黑体" w:hAnsi="黑体" w:eastAsia="黑体" w:cs="新宋体"/>
                <w:color w:val="000000"/>
                <w:szCs w:val="21"/>
              </w:rPr>
            </w:pPr>
            <w:r>
              <w:rPr>
                <w:rFonts w:hint="eastAsia" w:ascii="黑体" w:hAnsi="黑体" w:eastAsia="黑体" w:cs="新宋体"/>
                <w:color w:val="000000"/>
                <w:kern w:val="0"/>
                <w:szCs w:val="21"/>
                <w:lang w:bidi="ar"/>
              </w:rPr>
              <w:t>负债合计</w:t>
            </w:r>
          </w:p>
        </w:tc>
        <w:tc>
          <w:tcPr>
            <w:tcW w:w="1125" w:type="dxa"/>
            <w:tcBorders>
              <w:top w:val="single" w:color="000000" w:sz="12" w:space="0"/>
              <w:left w:val="single" w:color="000000" w:sz="4" w:space="0"/>
              <w:bottom w:val="nil"/>
              <w:right w:val="nil"/>
            </w:tcBorders>
            <w:shd w:val="clear" w:color="auto" w:fill="auto"/>
            <w:tcMar>
              <w:top w:w="15" w:type="dxa"/>
              <w:left w:w="15" w:type="dxa"/>
              <w:right w:w="15" w:type="dxa"/>
            </w:tcMar>
            <w:vAlign w:val="center"/>
          </w:tcPr>
          <w:p>
            <w:pPr>
              <w:widowControl/>
              <w:spacing w:line="440" w:lineRule="exact"/>
              <w:jc w:val="center"/>
              <w:textAlignment w:val="center"/>
              <w:rPr>
                <w:rFonts w:ascii="黑体" w:hAnsi="黑体" w:eastAsia="黑体" w:cs="新宋体"/>
                <w:color w:val="000000"/>
                <w:szCs w:val="21"/>
              </w:rPr>
            </w:pPr>
            <w:r>
              <w:rPr>
                <w:rFonts w:hint="eastAsia" w:ascii="黑体" w:hAnsi="黑体" w:eastAsia="黑体" w:cs="新宋体"/>
                <w:color w:val="000000"/>
                <w:kern w:val="0"/>
                <w:szCs w:val="21"/>
                <w:lang w:bidi="ar"/>
              </w:rPr>
              <w:t>营业收入</w:t>
            </w:r>
          </w:p>
        </w:tc>
      </w:tr>
      <w:tr>
        <w:tblPrEx>
          <w:tblCellMar>
            <w:top w:w="0" w:type="dxa"/>
            <w:left w:w="0" w:type="dxa"/>
            <w:bottom w:w="0" w:type="dxa"/>
            <w:right w:w="0" w:type="dxa"/>
          </w:tblCellMar>
        </w:tblPrEx>
        <w:trPr>
          <w:trHeight w:val="460" w:hRule="exact"/>
        </w:trPr>
        <w:tc>
          <w:tcPr>
            <w:tcW w:w="5385" w:type="dxa"/>
            <w:vMerge w:val="continue"/>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spacing w:line="440" w:lineRule="exact"/>
              <w:jc w:val="left"/>
              <w:rPr>
                <w:rFonts w:ascii="黑体" w:hAnsi="黑体" w:eastAsia="黑体" w:cs="新宋体"/>
                <w:color w:val="000000"/>
                <w:szCs w:val="21"/>
              </w:rPr>
            </w:pPr>
          </w:p>
        </w:tc>
        <w:tc>
          <w:tcPr>
            <w:tcW w:w="1125" w:type="dxa"/>
            <w:tcBorders>
              <w:top w:val="nil"/>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黑体" w:hAnsi="黑体" w:eastAsia="黑体" w:cs="新宋体"/>
                <w:color w:val="000000"/>
                <w:szCs w:val="21"/>
              </w:rPr>
            </w:pPr>
            <w:r>
              <w:rPr>
                <w:rFonts w:hint="eastAsia" w:ascii="黑体" w:hAnsi="黑体" w:eastAsia="黑体" w:cs="新宋体"/>
                <w:color w:val="000000"/>
                <w:kern w:val="0"/>
                <w:szCs w:val="21"/>
                <w:lang w:bidi="ar"/>
              </w:rPr>
              <w:t>（亿元）</w:t>
            </w:r>
          </w:p>
        </w:tc>
        <w:tc>
          <w:tcPr>
            <w:tcW w:w="1125" w:type="dxa"/>
            <w:tcBorders>
              <w:top w:val="nil"/>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黑体" w:hAnsi="黑体" w:eastAsia="黑体" w:cs="新宋体"/>
                <w:color w:val="000000"/>
                <w:szCs w:val="21"/>
              </w:rPr>
            </w:pPr>
            <w:r>
              <w:rPr>
                <w:rFonts w:hint="eastAsia" w:ascii="黑体" w:hAnsi="黑体" w:eastAsia="黑体" w:cs="新宋体"/>
                <w:color w:val="000000"/>
                <w:kern w:val="0"/>
                <w:szCs w:val="21"/>
                <w:lang w:bidi="ar"/>
              </w:rPr>
              <w:t>（亿元）</w:t>
            </w:r>
          </w:p>
        </w:tc>
        <w:tc>
          <w:tcPr>
            <w:tcW w:w="1125" w:type="dxa"/>
            <w:tcBorders>
              <w:top w:val="nil"/>
              <w:left w:val="single" w:color="000000" w:sz="4" w:space="0"/>
              <w:bottom w:val="single" w:color="000000" w:sz="8" w:space="0"/>
              <w:right w:val="nil"/>
            </w:tcBorders>
            <w:shd w:val="clear" w:color="auto" w:fill="auto"/>
            <w:tcMar>
              <w:top w:w="15" w:type="dxa"/>
              <w:left w:w="15" w:type="dxa"/>
              <w:right w:w="15" w:type="dxa"/>
            </w:tcMar>
            <w:vAlign w:val="center"/>
          </w:tcPr>
          <w:p>
            <w:pPr>
              <w:widowControl/>
              <w:spacing w:line="440" w:lineRule="exact"/>
              <w:jc w:val="center"/>
              <w:textAlignment w:val="center"/>
              <w:rPr>
                <w:rFonts w:ascii="黑体" w:hAnsi="黑体" w:eastAsia="黑体" w:cs="新宋体"/>
                <w:color w:val="000000"/>
                <w:szCs w:val="21"/>
              </w:rPr>
            </w:pPr>
            <w:r>
              <w:rPr>
                <w:rFonts w:hint="eastAsia" w:ascii="黑体" w:hAnsi="黑体" w:eastAsia="黑体" w:cs="新宋体"/>
                <w:color w:val="000000"/>
                <w:kern w:val="0"/>
                <w:szCs w:val="21"/>
                <w:lang w:bidi="ar"/>
              </w:rPr>
              <w:t>（亿元）</w:t>
            </w:r>
          </w:p>
        </w:tc>
      </w:tr>
      <w:tr>
        <w:tblPrEx>
          <w:tblCellMar>
            <w:top w:w="0" w:type="dxa"/>
            <w:left w:w="0" w:type="dxa"/>
            <w:bottom w:w="0" w:type="dxa"/>
            <w:right w:w="0" w:type="dxa"/>
          </w:tblCellMar>
        </w:tblPrEx>
        <w:trPr>
          <w:trHeight w:val="518" w:hRule="exact"/>
        </w:trPr>
        <w:tc>
          <w:tcPr>
            <w:tcW w:w="0" w:type="auto"/>
            <w:tcBorders>
              <w:top w:val="single" w:color="000000" w:sz="8" w:space="0"/>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b/>
                <w:color w:val="000000"/>
                <w:szCs w:val="21"/>
              </w:rPr>
            </w:pPr>
            <w:r>
              <w:rPr>
                <w:rFonts w:hint="eastAsia" w:ascii="仿宋_GB2312" w:hAnsi="Times New Roman" w:eastAsia="仿宋_GB2312"/>
                <w:b/>
                <w:bCs/>
                <w:kern w:val="0"/>
                <w:szCs w:val="21"/>
              </w:rPr>
              <w:t>合 计</w:t>
            </w:r>
          </w:p>
        </w:tc>
        <w:tc>
          <w:tcPr>
            <w:tcW w:w="0" w:type="auto"/>
            <w:tcBorders>
              <w:top w:val="single" w:color="000000" w:sz="8"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b/>
                <w:color w:val="000000"/>
                <w:kern w:val="0"/>
                <w:szCs w:val="21"/>
                <w:lang w:bidi="ar"/>
              </w:rPr>
            </w:pPr>
            <w:r>
              <w:rPr>
                <w:rFonts w:hint="eastAsia" w:ascii="仿宋_GB2312" w:hAnsi="Times New Roman" w:eastAsia="仿宋_GB2312"/>
                <w:b/>
                <w:color w:val="000000"/>
                <w:kern w:val="0"/>
                <w:szCs w:val="21"/>
                <w:lang w:bidi="ar"/>
              </w:rPr>
              <w:t xml:space="preserve">2335.76 </w:t>
            </w:r>
          </w:p>
        </w:tc>
        <w:tc>
          <w:tcPr>
            <w:tcW w:w="0" w:type="auto"/>
            <w:tcBorders>
              <w:top w:val="single" w:color="000000" w:sz="8"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b/>
                <w:color w:val="000000"/>
                <w:kern w:val="0"/>
                <w:szCs w:val="21"/>
                <w:lang w:bidi="ar"/>
              </w:rPr>
            </w:pPr>
            <w:r>
              <w:rPr>
                <w:rFonts w:hint="eastAsia" w:ascii="仿宋_GB2312" w:hAnsi="Times New Roman" w:eastAsia="仿宋_GB2312"/>
                <w:b/>
                <w:color w:val="000000"/>
                <w:kern w:val="0"/>
                <w:szCs w:val="21"/>
                <w:lang w:bidi="ar"/>
              </w:rPr>
              <w:t xml:space="preserve">1379.38 </w:t>
            </w:r>
          </w:p>
        </w:tc>
        <w:tc>
          <w:tcPr>
            <w:tcW w:w="0" w:type="auto"/>
            <w:tcBorders>
              <w:top w:val="single" w:color="000000" w:sz="8" w:space="0"/>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b/>
                <w:color w:val="000000"/>
                <w:kern w:val="0"/>
                <w:szCs w:val="21"/>
                <w:lang w:bidi="ar"/>
              </w:rPr>
            </w:pPr>
            <w:r>
              <w:rPr>
                <w:rFonts w:hint="eastAsia" w:ascii="仿宋_GB2312" w:hAnsi="Times New Roman" w:eastAsia="仿宋_GB2312"/>
                <w:b/>
                <w:color w:val="000000"/>
                <w:kern w:val="0"/>
                <w:szCs w:val="21"/>
                <w:lang w:bidi="ar"/>
              </w:rPr>
              <w:t xml:space="preserve">1679.59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煤炭开采和洗选业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48.51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31.69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45.62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黑色金属矿采选业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0.87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0.04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有色金属矿采选业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2.84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2.33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0.73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非金属矿采选业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88.44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48.42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46.62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开采专业及辅助性活动</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3.78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2.17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5.58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其他采矿业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0.27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0.19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0.35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农副食品加工业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80.87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43.58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64.23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食品制造业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18.67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9.49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22.59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酒、饮料和精制茶制造业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49.07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21.29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54.19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纺织业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23.61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12.87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90.70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纺织服装、服饰业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0.59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0.29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0.22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皮革、毛皮、羽毛及其制品和制鞋业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28.85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17.46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24.85 </w:t>
            </w:r>
          </w:p>
        </w:tc>
      </w:tr>
      <w:tr>
        <w:tblPrEx>
          <w:tblCellMar>
            <w:top w:w="0" w:type="dxa"/>
            <w:left w:w="0" w:type="dxa"/>
            <w:bottom w:w="0" w:type="dxa"/>
            <w:right w:w="0" w:type="dxa"/>
          </w:tblCellMar>
        </w:tblPrEx>
        <w:trPr>
          <w:trHeight w:val="369" w:hRule="exact"/>
        </w:trPr>
        <w:tc>
          <w:tcPr>
            <w:tcW w:w="0" w:type="auto"/>
            <w:tcBorders>
              <w:top w:val="nil"/>
              <w:left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木材加工和木、竹、藤、棕、草制品业</w:t>
            </w:r>
          </w:p>
        </w:tc>
        <w:tc>
          <w:tcPr>
            <w:tcW w:w="0" w:type="auto"/>
            <w:tcBorders>
              <w:top w:val="nil"/>
              <w:left w:val="single" w:color="000000" w:sz="4" w:space="0"/>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14.79 </w:t>
            </w:r>
          </w:p>
        </w:tc>
        <w:tc>
          <w:tcPr>
            <w:tcW w:w="0" w:type="auto"/>
            <w:tcBorders>
              <w:top w:val="nil"/>
              <w:left w:val="single" w:color="000000" w:sz="4" w:space="0"/>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6.27 </w:t>
            </w:r>
          </w:p>
        </w:tc>
        <w:tc>
          <w:tcPr>
            <w:tcW w:w="0" w:type="auto"/>
            <w:tcBorders>
              <w:top w:val="nil"/>
              <w:left w:val="single" w:color="000000" w:sz="4" w:space="0"/>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16.41 </w:t>
            </w:r>
          </w:p>
        </w:tc>
      </w:tr>
      <w:tr>
        <w:tblPrEx>
          <w:tblCellMar>
            <w:top w:w="0" w:type="dxa"/>
            <w:left w:w="0" w:type="dxa"/>
            <w:bottom w:w="0" w:type="dxa"/>
            <w:right w:w="0" w:type="dxa"/>
          </w:tblCellMar>
        </w:tblPrEx>
        <w:trPr>
          <w:trHeight w:val="369" w:hRule="exact"/>
        </w:trPr>
        <w:tc>
          <w:tcPr>
            <w:tcW w:w="0" w:type="auto"/>
            <w:tcBorders>
              <w:top w:val="nil"/>
              <w:left w:val="nil"/>
              <w:bottom w:val="single" w:color="auto" w:sz="12" w:space="0"/>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家具制造业</w:t>
            </w:r>
          </w:p>
        </w:tc>
        <w:tc>
          <w:tcPr>
            <w:tcW w:w="0" w:type="auto"/>
            <w:tcBorders>
              <w:top w:val="nil"/>
              <w:left w:val="single" w:color="000000" w:sz="4" w:space="0"/>
              <w:bottom w:val="single" w:color="auto" w:sz="12" w:space="0"/>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3.85 </w:t>
            </w:r>
          </w:p>
        </w:tc>
        <w:tc>
          <w:tcPr>
            <w:tcW w:w="0" w:type="auto"/>
            <w:tcBorders>
              <w:top w:val="nil"/>
              <w:left w:val="single" w:color="000000" w:sz="4" w:space="0"/>
              <w:bottom w:val="single" w:color="auto" w:sz="12" w:space="0"/>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1.65 </w:t>
            </w:r>
          </w:p>
        </w:tc>
        <w:tc>
          <w:tcPr>
            <w:tcW w:w="0" w:type="auto"/>
            <w:tcBorders>
              <w:top w:val="nil"/>
              <w:left w:val="single" w:color="000000" w:sz="4" w:space="0"/>
              <w:bottom w:val="single" w:color="auto" w:sz="12" w:space="0"/>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5.27 </w:t>
            </w:r>
          </w:p>
        </w:tc>
      </w:tr>
      <w:tr>
        <w:tblPrEx>
          <w:tblCellMar>
            <w:top w:w="0" w:type="dxa"/>
            <w:left w:w="0" w:type="dxa"/>
            <w:bottom w:w="0" w:type="dxa"/>
            <w:right w:w="0" w:type="dxa"/>
          </w:tblCellMar>
        </w:tblPrEx>
        <w:trPr>
          <w:trHeight w:val="369" w:hRule="exact"/>
        </w:trPr>
        <w:tc>
          <w:tcPr>
            <w:tcW w:w="0" w:type="auto"/>
            <w:tcBorders>
              <w:left w:val="nil"/>
              <w:bottom w:val="single" w:color="auto" w:sz="12" w:space="0"/>
            </w:tcBorders>
            <w:shd w:val="clear" w:color="auto" w:fill="auto"/>
            <w:noWrap/>
            <w:tcMar>
              <w:top w:w="15" w:type="dxa"/>
              <w:left w:w="15" w:type="dxa"/>
              <w:right w:w="15" w:type="dxa"/>
            </w:tcMar>
            <w:vAlign w:val="center"/>
          </w:tcPr>
          <w:p>
            <w:pPr>
              <w:spacing w:line="440" w:lineRule="exact"/>
              <w:jc w:val="left"/>
              <w:rPr>
                <w:rFonts w:ascii="新宋体" w:hAnsi="新宋体" w:eastAsia="新宋体" w:cs="新宋体"/>
                <w:color w:val="000000"/>
                <w:sz w:val="20"/>
                <w:szCs w:val="20"/>
              </w:rPr>
            </w:pPr>
          </w:p>
        </w:tc>
        <w:tc>
          <w:tcPr>
            <w:tcW w:w="0" w:type="auto"/>
            <w:tcBorders>
              <w:bottom w:val="single" w:color="auto" w:sz="12" w:space="0"/>
            </w:tcBorders>
            <w:shd w:val="clear" w:color="auto" w:fill="auto"/>
            <w:noWrap/>
            <w:tcMar>
              <w:top w:w="15" w:type="dxa"/>
              <w:left w:w="15" w:type="dxa"/>
              <w:right w:w="15" w:type="dxa"/>
            </w:tcMar>
            <w:vAlign w:val="center"/>
          </w:tcPr>
          <w:p>
            <w:pPr>
              <w:widowControl/>
              <w:spacing w:line="440" w:lineRule="exact"/>
              <w:jc w:val="center"/>
              <w:textAlignment w:val="center"/>
              <w:rPr>
                <w:rFonts w:ascii="新宋体" w:hAnsi="新宋体" w:eastAsia="新宋体" w:cs="新宋体"/>
                <w:b/>
                <w:color w:val="000000"/>
                <w:kern w:val="0"/>
                <w:szCs w:val="21"/>
                <w:lang w:bidi="ar"/>
              </w:rPr>
            </w:pPr>
          </w:p>
        </w:tc>
        <w:tc>
          <w:tcPr>
            <w:tcW w:w="0" w:type="auto"/>
            <w:tcBorders>
              <w:bottom w:val="single" w:color="auto" w:sz="12" w:space="0"/>
            </w:tcBorders>
            <w:shd w:val="clear" w:color="auto" w:fill="auto"/>
            <w:noWrap/>
            <w:tcMar>
              <w:top w:w="15" w:type="dxa"/>
              <w:left w:w="15" w:type="dxa"/>
              <w:right w:w="15" w:type="dxa"/>
            </w:tcMar>
            <w:vAlign w:val="center"/>
          </w:tcPr>
          <w:p>
            <w:pPr>
              <w:widowControl/>
              <w:spacing w:line="440" w:lineRule="exact"/>
              <w:jc w:val="center"/>
              <w:textAlignment w:val="center"/>
              <w:rPr>
                <w:rFonts w:ascii="新宋体" w:hAnsi="新宋体" w:eastAsia="新宋体" w:cs="新宋体"/>
                <w:b/>
                <w:color w:val="000000"/>
                <w:kern w:val="0"/>
                <w:szCs w:val="21"/>
                <w:lang w:bidi="ar"/>
              </w:rPr>
            </w:pPr>
          </w:p>
        </w:tc>
        <w:tc>
          <w:tcPr>
            <w:tcW w:w="0" w:type="auto"/>
            <w:tcBorders>
              <w:bottom w:val="single" w:color="auto" w:sz="12" w:space="0"/>
              <w:right w:val="nil"/>
            </w:tcBorders>
            <w:shd w:val="clear" w:color="auto" w:fill="auto"/>
            <w:noWrap/>
            <w:tcMar>
              <w:top w:w="15" w:type="dxa"/>
              <w:left w:w="15" w:type="dxa"/>
              <w:right w:w="15" w:type="dxa"/>
            </w:tcMar>
            <w:vAlign w:val="center"/>
          </w:tcPr>
          <w:p>
            <w:pPr>
              <w:widowControl/>
              <w:spacing w:line="440" w:lineRule="exact"/>
              <w:jc w:val="center"/>
              <w:textAlignment w:val="center"/>
              <w:rPr>
                <w:rFonts w:ascii="新宋体" w:hAnsi="新宋体" w:eastAsia="新宋体" w:cs="新宋体"/>
                <w:color w:val="000000"/>
                <w:kern w:val="0"/>
                <w:szCs w:val="21"/>
                <w:lang w:bidi="ar"/>
              </w:rPr>
            </w:pPr>
            <w:r>
              <w:rPr>
                <w:rFonts w:hint="eastAsia" w:ascii="新宋体" w:hAnsi="新宋体" w:eastAsia="新宋体" w:cs="新宋体"/>
                <w:color w:val="000000"/>
                <w:kern w:val="0"/>
                <w:szCs w:val="21"/>
                <w:lang w:bidi="ar"/>
              </w:rPr>
              <w:t xml:space="preserve">   续表</w:t>
            </w:r>
          </w:p>
        </w:tc>
      </w:tr>
      <w:tr>
        <w:tblPrEx>
          <w:tblCellMar>
            <w:top w:w="0" w:type="dxa"/>
            <w:left w:w="0" w:type="dxa"/>
            <w:bottom w:w="0" w:type="dxa"/>
            <w:right w:w="0" w:type="dxa"/>
          </w:tblCellMar>
        </w:tblPrEx>
        <w:trPr>
          <w:trHeight w:val="369" w:hRule="exact"/>
        </w:trPr>
        <w:tc>
          <w:tcPr>
            <w:tcW w:w="0" w:type="auto"/>
            <w:tcBorders>
              <w:top w:val="single" w:color="auto" w:sz="12" w:space="0"/>
              <w:left w:val="nil"/>
              <w:bottom w:val="nil"/>
              <w:right w:val="single" w:color="auto" w:sz="8" w:space="0"/>
            </w:tcBorders>
            <w:shd w:val="clear" w:color="auto" w:fill="auto"/>
            <w:noWrap/>
            <w:tcMar>
              <w:top w:w="15" w:type="dxa"/>
              <w:left w:w="15" w:type="dxa"/>
              <w:right w:w="15" w:type="dxa"/>
            </w:tcMar>
            <w:vAlign w:val="center"/>
          </w:tcPr>
          <w:p>
            <w:pPr>
              <w:spacing w:line="440" w:lineRule="exact"/>
              <w:jc w:val="left"/>
              <w:rPr>
                <w:rFonts w:ascii="黑体" w:hAnsi="黑体" w:eastAsia="黑体" w:cs="新宋体"/>
                <w:color w:val="000000"/>
                <w:szCs w:val="21"/>
              </w:rPr>
            </w:pPr>
          </w:p>
        </w:tc>
        <w:tc>
          <w:tcPr>
            <w:tcW w:w="0" w:type="auto"/>
            <w:tcBorders>
              <w:top w:val="single" w:color="auto" w:sz="12" w:space="0"/>
              <w:left w:val="single" w:color="auto" w:sz="8" w:space="0"/>
              <w:bottom w:val="nil"/>
              <w:right w:val="single" w:color="auto" w:sz="8" w:space="0"/>
            </w:tcBorders>
            <w:shd w:val="clear" w:color="auto" w:fill="auto"/>
            <w:noWrap/>
            <w:tcMar>
              <w:top w:w="15" w:type="dxa"/>
              <w:left w:w="15" w:type="dxa"/>
              <w:right w:w="15" w:type="dxa"/>
            </w:tcMar>
            <w:vAlign w:val="center"/>
          </w:tcPr>
          <w:p>
            <w:pPr>
              <w:widowControl/>
              <w:spacing w:line="440" w:lineRule="exact"/>
              <w:jc w:val="center"/>
              <w:textAlignment w:val="center"/>
              <w:rPr>
                <w:rFonts w:ascii="黑体" w:hAnsi="黑体" w:eastAsia="黑体" w:cs="新宋体"/>
                <w:color w:val="000000"/>
                <w:szCs w:val="21"/>
              </w:rPr>
            </w:pPr>
            <w:r>
              <w:rPr>
                <w:rFonts w:hint="eastAsia" w:ascii="黑体" w:hAnsi="黑体" w:eastAsia="黑体" w:cs="新宋体"/>
                <w:color w:val="000000"/>
                <w:kern w:val="0"/>
                <w:szCs w:val="21"/>
                <w:lang w:bidi="ar"/>
              </w:rPr>
              <w:t>资产总计</w:t>
            </w:r>
          </w:p>
        </w:tc>
        <w:tc>
          <w:tcPr>
            <w:tcW w:w="0" w:type="auto"/>
            <w:tcBorders>
              <w:top w:val="single" w:color="auto" w:sz="12" w:space="0"/>
              <w:left w:val="single" w:color="auto" w:sz="8" w:space="0"/>
              <w:bottom w:val="nil"/>
              <w:right w:val="single" w:color="auto" w:sz="8" w:space="0"/>
            </w:tcBorders>
            <w:shd w:val="clear" w:color="auto" w:fill="auto"/>
            <w:noWrap/>
            <w:tcMar>
              <w:top w:w="15" w:type="dxa"/>
              <w:left w:w="15" w:type="dxa"/>
              <w:right w:w="15" w:type="dxa"/>
            </w:tcMar>
            <w:vAlign w:val="center"/>
          </w:tcPr>
          <w:p>
            <w:pPr>
              <w:widowControl/>
              <w:spacing w:line="440" w:lineRule="exact"/>
              <w:jc w:val="center"/>
              <w:textAlignment w:val="center"/>
              <w:rPr>
                <w:rFonts w:ascii="黑体" w:hAnsi="黑体" w:eastAsia="黑体" w:cs="新宋体"/>
                <w:color w:val="000000"/>
                <w:szCs w:val="21"/>
              </w:rPr>
            </w:pPr>
            <w:r>
              <w:rPr>
                <w:rFonts w:hint="eastAsia" w:ascii="黑体" w:hAnsi="黑体" w:eastAsia="黑体" w:cs="新宋体"/>
                <w:color w:val="000000"/>
                <w:kern w:val="0"/>
                <w:szCs w:val="21"/>
                <w:lang w:bidi="ar"/>
              </w:rPr>
              <w:t>负债合计</w:t>
            </w:r>
          </w:p>
        </w:tc>
        <w:tc>
          <w:tcPr>
            <w:tcW w:w="0" w:type="auto"/>
            <w:tcBorders>
              <w:top w:val="single" w:color="auto" w:sz="12" w:space="0"/>
              <w:left w:val="single" w:color="auto" w:sz="8" w:space="0"/>
              <w:bottom w:val="nil"/>
              <w:right w:val="nil"/>
            </w:tcBorders>
            <w:shd w:val="clear" w:color="auto" w:fill="auto"/>
            <w:noWrap/>
            <w:tcMar>
              <w:top w:w="15" w:type="dxa"/>
              <w:left w:w="15" w:type="dxa"/>
              <w:right w:w="15" w:type="dxa"/>
            </w:tcMar>
            <w:vAlign w:val="center"/>
          </w:tcPr>
          <w:p>
            <w:pPr>
              <w:widowControl/>
              <w:spacing w:line="440" w:lineRule="exact"/>
              <w:jc w:val="center"/>
              <w:textAlignment w:val="center"/>
              <w:rPr>
                <w:rFonts w:ascii="黑体" w:hAnsi="黑体" w:eastAsia="黑体" w:cs="新宋体"/>
                <w:color w:val="000000"/>
                <w:szCs w:val="21"/>
              </w:rPr>
            </w:pPr>
            <w:r>
              <w:rPr>
                <w:rFonts w:hint="eastAsia" w:ascii="黑体" w:hAnsi="黑体" w:eastAsia="黑体" w:cs="新宋体"/>
                <w:color w:val="000000"/>
                <w:kern w:val="0"/>
                <w:szCs w:val="21"/>
                <w:lang w:bidi="ar"/>
              </w:rPr>
              <w:t>营业收入</w:t>
            </w:r>
          </w:p>
        </w:tc>
      </w:tr>
      <w:tr>
        <w:tblPrEx>
          <w:tblCellMar>
            <w:top w:w="0" w:type="dxa"/>
            <w:left w:w="0" w:type="dxa"/>
            <w:bottom w:w="0" w:type="dxa"/>
            <w:right w:w="0" w:type="dxa"/>
          </w:tblCellMar>
        </w:tblPrEx>
        <w:trPr>
          <w:trHeight w:val="369" w:hRule="exact"/>
        </w:trPr>
        <w:tc>
          <w:tcPr>
            <w:tcW w:w="0" w:type="auto"/>
            <w:tcBorders>
              <w:top w:val="nil"/>
              <w:left w:val="nil"/>
              <w:bottom w:val="single" w:color="000000" w:sz="4" w:space="0"/>
              <w:right w:val="single" w:color="auto" w:sz="8" w:space="0"/>
            </w:tcBorders>
            <w:shd w:val="clear" w:color="auto" w:fill="auto"/>
            <w:noWrap/>
            <w:tcMar>
              <w:top w:w="15" w:type="dxa"/>
              <w:left w:w="15" w:type="dxa"/>
              <w:right w:w="15" w:type="dxa"/>
            </w:tcMar>
            <w:vAlign w:val="center"/>
          </w:tcPr>
          <w:p>
            <w:pPr>
              <w:spacing w:line="440" w:lineRule="exact"/>
              <w:jc w:val="left"/>
              <w:rPr>
                <w:rFonts w:ascii="黑体" w:hAnsi="黑体" w:eastAsia="黑体" w:cs="新宋体"/>
                <w:color w:val="000000"/>
                <w:szCs w:val="21"/>
              </w:rPr>
            </w:pPr>
          </w:p>
        </w:tc>
        <w:tc>
          <w:tcPr>
            <w:tcW w:w="0" w:type="auto"/>
            <w:tcBorders>
              <w:top w:val="nil"/>
              <w:left w:val="single" w:color="auto" w:sz="8" w:space="0"/>
              <w:bottom w:val="single" w:color="000000" w:sz="4" w:space="0"/>
              <w:right w:val="single" w:color="auto" w:sz="8" w:space="0"/>
            </w:tcBorders>
            <w:shd w:val="clear" w:color="auto" w:fill="auto"/>
            <w:noWrap/>
            <w:tcMar>
              <w:top w:w="15" w:type="dxa"/>
              <w:left w:w="15" w:type="dxa"/>
              <w:right w:w="15" w:type="dxa"/>
            </w:tcMar>
            <w:vAlign w:val="center"/>
          </w:tcPr>
          <w:p>
            <w:pPr>
              <w:widowControl/>
              <w:spacing w:line="440" w:lineRule="exact"/>
              <w:jc w:val="center"/>
              <w:textAlignment w:val="center"/>
              <w:rPr>
                <w:rFonts w:ascii="黑体" w:hAnsi="黑体" w:eastAsia="黑体" w:cs="新宋体"/>
                <w:color w:val="000000"/>
                <w:szCs w:val="21"/>
              </w:rPr>
            </w:pPr>
            <w:r>
              <w:rPr>
                <w:rFonts w:hint="eastAsia" w:ascii="黑体" w:hAnsi="黑体" w:eastAsia="黑体" w:cs="新宋体"/>
                <w:color w:val="000000"/>
                <w:kern w:val="0"/>
                <w:szCs w:val="21"/>
                <w:lang w:bidi="ar"/>
              </w:rPr>
              <w:t>（亿元）</w:t>
            </w:r>
          </w:p>
        </w:tc>
        <w:tc>
          <w:tcPr>
            <w:tcW w:w="0" w:type="auto"/>
            <w:tcBorders>
              <w:top w:val="nil"/>
              <w:left w:val="single" w:color="auto" w:sz="8" w:space="0"/>
              <w:bottom w:val="single" w:color="000000" w:sz="4" w:space="0"/>
              <w:right w:val="single" w:color="auto" w:sz="8" w:space="0"/>
            </w:tcBorders>
            <w:shd w:val="clear" w:color="auto" w:fill="auto"/>
            <w:noWrap/>
            <w:tcMar>
              <w:top w:w="15" w:type="dxa"/>
              <w:left w:w="15" w:type="dxa"/>
              <w:right w:w="15" w:type="dxa"/>
            </w:tcMar>
            <w:vAlign w:val="center"/>
          </w:tcPr>
          <w:p>
            <w:pPr>
              <w:widowControl/>
              <w:spacing w:line="440" w:lineRule="exact"/>
              <w:jc w:val="center"/>
              <w:textAlignment w:val="center"/>
              <w:rPr>
                <w:rFonts w:ascii="黑体" w:hAnsi="黑体" w:eastAsia="黑体" w:cs="新宋体"/>
                <w:color w:val="000000"/>
                <w:szCs w:val="21"/>
              </w:rPr>
            </w:pPr>
            <w:r>
              <w:rPr>
                <w:rFonts w:hint="eastAsia" w:ascii="黑体" w:hAnsi="黑体" w:eastAsia="黑体" w:cs="新宋体"/>
                <w:color w:val="000000"/>
                <w:kern w:val="0"/>
                <w:szCs w:val="21"/>
                <w:lang w:bidi="ar"/>
              </w:rPr>
              <w:t>（亿元）</w:t>
            </w:r>
          </w:p>
        </w:tc>
        <w:tc>
          <w:tcPr>
            <w:tcW w:w="0" w:type="auto"/>
            <w:tcBorders>
              <w:top w:val="nil"/>
              <w:left w:val="single" w:color="auto" w:sz="8" w:space="0"/>
              <w:bottom w:val="single" w:color="000000" w:sz="4" w:space="0"/>
              <w:right w:val="nil"/>
            </w:tcBorders>
            <w:shd w:val="clear" w:color="auto" w:fill="auto"/>
            <w:noWrap/>
            <w:tcMar>
              <w:top w:w="15" w:type="dxa"/>
              <w:left w:w="15" w:type="dxa"/>
              <w:right w:w="15" w:type="dxa"/>
            </w:tcMar>
            <w:vAlign w:val="center"/>
          </w:tcPr>
          <w:p>
            <w:pPr>
              <w:widowControl/>
              <w:spacing w:line="440" w:lineRule="exact"/>
              <w:jc w:val="center"/>
              <w:textAlignment w:val="center"/>
              <w:rPr>
                <w:rFonts w:ascii="黑体" w:hAnsi="黑体" w:eastAsia="黑体" w:cs="新宋体"/>
                <w:color w:val="000000"/>
                <w:szCs w:val="21"/>
              </w:rPr>
            </w:pPr>
            <w:r>
              <w:rPr>
                <w:rFonts w:hint="eastAsia" w:ascii="黑体" w:hAnsi="黑体" w:eastAsia="黑体" w:cs="新宋体"/>
                <w:color w:val="000000"/>
                <w:kern w:val="0"/>
                <w:szCs w:val="21"/>
                <w:lang w:bidi="ar"/>
              </w:rPr>
              <w:t>（亿元）</w:t>
            </w:r>
          </w:p>
        </w:tc>
      </w:tr>
      <w:tr>
        <w:tblPrEx>
          <w:tblCellMar>
            <w:top w:w="0" w:type="dxa"/>
            <w:left w:w="0" w:type="dxa"/>
            <w:bottom w:w="0" w:type="dxa"/>
            <w:right w:w="0" w:type="dxa"/>
          </w:tblCellMar>
        </w:tblPrEx>
        <w:trPr>
          <w:trHeight w:val="369" w:hRule="exact"/>
        </w:trPr>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造纸和纸制品业</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72.41 </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35.36 </w:t>
            </w:r>
          </w:p>
        </w:tc>
        <w:tc>
          <w:tcPr>
            <w:tcW w:w="0" w:type="auto"/>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55.30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印刷和记录媒介复制业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9.93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5.19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16.75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文教、工美、体育和娱乐用品制造业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4.86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1.50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9.95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石油、煤炭及其他燃料加工业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20.88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17.62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12.50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化学原料和化学制品制造业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354.66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159.87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182.92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医药制造业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36.78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18.36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44.91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橡胶和塑料制品业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12.60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9.48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6.62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非金属矿物制品业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309.91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141.09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408.07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黑色金属冶炼和压延加工业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192.95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138.18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152.57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有色金属冶炼和压延加工业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31.65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16.81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51.16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金属制品业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41.44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28.34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59.82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通用设备制造业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30.09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16.25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40.71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专用设备制造业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32.09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18.27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35.97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汽车制造业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1.93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0.70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4.51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铁路、船舶、航空航天和其他运输设备制造业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19.61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2.91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8.04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电气机械和器材制造业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80.63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45.08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37.85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计算机、通信和其他电子设备制造业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34.60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11.74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38.28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仪器仪表制造业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0.96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0.22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1.70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其他制造业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122.25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107.92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17.86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 xml:space="preserve">废弃资源综合利用业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0.42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0.23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0.57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金属制品、机械和设备修理业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0.60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0.36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0.57 </w:t>
            </w:r>
          </w:p>
        </w:tc>
      </w:tr>
      <w:tr>
        <w:tblPrEx>
          <w:tblCellMar>
            <w:top w:w="0" w:type="dxa"/>
            <w:left w:w="0" w:type="dxa"/>
            <w:bottom w:w="0" w:type="dxa"/>
            <w:right w:w="0" w:type="dxa"/>
          </w:tblCellMar>
        </w:tblPrEx>
        <w:trPr>
          <w:trHeight w:val="369" w:hRule="exact"/>
        </w:trPr>
        <w:tc>
          <w:tcPr>
            <w:tcW w:w="0" w:type="auto"/>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电力、热力生产和供应业</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492.69 </w:t>
            </w:r>
          </w:p>
        </w:tc>
        <w:tc>
          <w:tcPr>
            <w:tcW w:w="0" w:type="auto"/>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375.38 </w:t>
            </w:r>
          </w:p>
        </w:tc>
        <w:tc>
          <w:tcPr>
            <w:tcW w:w="0" w:type="auto"/>
            <w:tcBorders>
              <w:top w:val="nil"/>
              <w:left w:val="single" w:color="000000" w:sz="4" w:space="0"/>
              <w:bottom w:val="nil"/>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73.54 </w:t>
            </w:r>
          </w:p>
        </w:tc>
      </w:tr>
      <w:tr>
        <w:tblPrEx>
          <w:tblCellMar>
            <w:top w:w="0" w:type="dxa"/>
            <w:left w:w="0" w:type="dxa"/>
            <w:bottom w:w="0" w:type="dxa"/>
            <w:right w:w="0" w:type="dxa"/>
          </w:tblCellMar>
        </w:tblPrEx>
        <w:trPr>
          <w:trHeight w:val="369" w:hRule="exact"/>
        </w:trPr>
        <w:tc>
          <w:tcPr>
            <w:tcW w:w="0" w:type="auto"/>
            <w:tcBorders>
              <w:top w:val="nil"/>
              <w:left w:val="nil"/>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 xml:space="preserve">燃气生产和供应业  </w:t>
            </w:r>
          </w:p>
        </w:tc>
        <w:tc>
          <w:tcPr>
            <w:tcW w:w="0" w:type="auto"/>
            <w:tcBorders>
              <w:top w:val="nil"/>
              <w:left w:val="single" w:color="000000" w:sz="4" w:space="0"/>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27.16 </w:t>
            </w:r>
          </w:p>
        </w:tc>
        <w:tc>
          <w:tcPr>
            <w:tcW w:w="0" w:type="auto"/>
            <w:tcBorders>
              <w:top w:val="nil"/>
              <w:left w:val="single" w:color="000000" w:sz="4" w:space="0"/>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8.91 </w:t>
            </w:r>
          </w:p>
        </w:tc>
        <w:tc>
          <w:tcPr>
            <w:tcW w:w="0" w:type="auto"/>
            <w:tcBorders>
              <w:top w:val="nil"/>
              <w:left w:val="single" w:color="000000" w:sz="4" w:space="0"/>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36.51 </w:t>
            </w:r>
          </w:p>
        </w:tc>
      </w:tr>
      <w:tr>
        <w:tblPrEx>
          <w:tblCellMar>
            <w:top w:w="0" w:type="dxa"/>
            <w:left w:w="0" w:type="dxa"/>
            <w:bottom w:w="0" w:type="dxa"/>
            <w:right w:w="0" w:type="dxa"/>
          </w:tblCellMar>
        </w:tblPrEx>
        <w:trPr>
          <w:trHeight w:val="369" w:hRule="exact"/>
        </w:trPr>
        <w:tc>
          <w:tcPr>
            <w:tcW w:w="0" w:type="auto"/>
            <w:tcBorders>
              <w:top w:val="nil"/>
              <w:left w:val="nil"/>
              <w:bottom w:val="single" w:color="000000" w:sz="12" w:space="0"/>
              <w:right w:val="single" w:color="000000" w:sz="4" w:space="0"/>
            </w:tcBorders>
            <w:shd w:val="clear" w:color="auto" w:fill="auto"/>
            <w:noWrap/>
            <w:tcMar>
              <w:top w:w="15" w:type="dxa"/>
              <w:left w:w="15" w:type="dxa"/>
              <w:right w:w="15" w:type="dxa"/>
            </w:tcMar>
            <w:vAlign w:val="center"/>
          </w:tcPr>
          <w:p>
            <w:pPr>
              <w:widowControl/>
              <w:spacing w:line="440" w:lineRule="exact"/>
              <w:ind w:left="210" w:leftChars="100"/>
              <w:jc w:val="left"/>
              <w:textAlignment w:val="center"/>
              <w:rPr>
                <w:rFonts w:ascii="仿宋_GB2312" w:hAnsi="新宋体" w:eastAsia="仿宋_GB2312" w:cs="新宋体"/>
                <w:color w:val="000000"/>
                <w:szCs w:val="21"/>
              </w:rPr>
            </w:pPr>
            <w:r>
              <w:rPr>
                <w:rFonts w:hint="eastAsia" w:ascii="仿宋_GB2312" w:hAnsi="新宋体" w:eastAsia="仿宋_GB2312" w:cs="新宋体"/>
                <w:color w:val="000000"/>
                <w:kern w:val="0"/>
                <w:szCs w:val="21"/>
                <w:lang w:bidi="ar"/>
              </w:rPr>
              <w:t xml:space="preserve">水的生产和供应业  </w:t>
            </w:r>
          </w:p>
        </w:tc>
        <w:tc>
          <w:tcPr>
            <w:tcW w:w="0" w:type="auto"/>
            <w:tcBorders>
              <w:top w:val="nil"/>
              <w:left w:val="single" w:color="000000" w:sz="4" w:space="0"/>
              <w:bottom w:val="single" w:color="000000" w:sz="12" w:space="0"/>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39.66 </w:t>
            </w:r>
          </w:p>
        </w:tc>
        <w:tc>
          <w:tcPr>
            <w:tcW w:w="0" w:type="auto"/>
            <w:tcBorders>
              <w:top w:val="nil"/>
              <w:left w:val="single" w:color="000000" w:sz="4" w:space="0"/>
              <w:bottom w:val="single" w:color="000000" w:sz="12" w:space="0"/>
              <w:right w:val="single" w:color="000000" w:sz="4" w:space="0"/>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21.88 </w:t>
            </w:r>
          </w:p>
        </w:tc>
        <w:tc>
          <w:tcPr>
            <w:tcW w:w="0" w:type="auto"/>
            <w:tcBorders>
              <w:top w:val="nil"/>
              <w:left w:val="single" w:color="000000" w:sz="4" w:space="0"/>
              <w:bottom w:val="single" w:color="000000" w:sz="12" w:space="0"/>
              <w:right w:val="nil"/>
            </w:tcBorders>
            <w:shd w:val="clear" w:color="auto" w:fill="auto"/>
            <w:noWrap/>
            <w:tcMar>
              <w:top w:w="15" w:type="dxa"/>
              <w:left w:w="15" w:type="dxa"/>
              <w:right w:w="15" w:type="dxa"/>
            </w:tcMar>
            <w:vAlign w:val="center"/>
          </w:tcPr>
          <w:p>
            <w:pPr>
              <w:widowControl/>
              <w:ind w:right="210" w:rightChars="10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 xml:space="preserve">5.55 </w:t>
            </w:r>
          </w:p>
        </w:tc>
      </w:tr>
    </w:tbl>
    <w:p>
      <w:pPr>
        <w:widowControl/>
        <w:spacing w:line="440" w:lineRule="exact"/>
        <w:ind w:firstLine="210" w:firstLineChars="100"/>
        <w:jc w:val="left"/>
        <w:textAlignment w:val="center"/>
        <w:rPr>
          <w:rFonts w:ascii="楷体_GB2312" w:hAnsi="新宋体" w:eastAsia="楷体_GB2312" w:cs="新宋体"/>
          <w:color w:val="000000"/>
          <w:kern w:val="0"/>
          <w:szCs w:val="21"/>
          <w:lang w:bidi="ar"/>
        </w:rPr>
      </w:pPr>
      <w:r>
        <w:rPr>
          <w:rFonts w:hint="eastAsia" w:ascii="楷体_GB2312" w:hAnsi="新宋体" w:eastAsia="楷体_GB2312" w:cs="新宋体"/>
          <w:color w:val="000000"/>
          <w:kern w:val="0"/>
          <w:szCs w:val="21"/>
          <w:lang w:bidi="ar"/>
        </w:rPr>
        <w:t>注：表中营业收入合计数含烟草制品业数据。</w:t>
      </w:r>
    </w:p>
    <w:p>
      <w:pPr>
        <w:widowControl/>
        <w:spacing w:line="440" w:lineRule="exact"/>
        <w:ind w:firstLine="640" w:firstLineChars="200"/>
        <w:rPr>
          <w:rFonts w:eastAsia="楷体_GB2312"/>
          <w:kern w:val="0"/>
          <w:sz w:val="32"/>
          <w:szCs w:val="32"/>
        </w:rPr>
      </w:pPr>
    </w:p>
    <w:p>
      <w:pPr>
        <w:widowControl/>
        <w:spacing w:line="440" w:lineRule="exact"/>
        <w:ind w:firstLine="640" w:firstLineChars="200"/>
        <w:rPr>
          <w:rFonts w:eastAsia="楷体_GB2312"/>
          <w:kern w:val="0"/>
          <w:sz w:val="32"/>
          <w:szCs w:val="32"/>
        </w:rPr>
      </w:pPr>
      <w:r>
        <w:rPr>
          <w:rFonts w:eastAsia="楷体_GB2312"/>
          <w:kern w:val="0"/>
          <w:sz w:val="32"/>
          <w:szCs w:val="32"/>
        </w:rPr>
        <w:t>（三）主要产品产量。</w:t>
      </w:r>
    </w:p>
    <w:p>
      <w:pPr>
        <w:adjustRightInd w:val="0"/>
        <w:spacing w:line="540" w:lineRule="exact"/>
        <w:ind w:firstLine="640" w:firstLineChars="200"/>
        <w:rPr>
          <w:rFonts w:ascii="仿宋_GB2312" w:eastAsia="仿宋_GB2312"/>
          <w:kern w:val="0"/>
          <w:sz w:val="32"/>
          <w:szCs w:val="32"/>
        </w:rPr>
      </w:pPr>
      <w:r>
        <w:rPr>
          <w:rFonts w:ascii="仿宋_GB2312" w:eastAsia="仿宋_GB2312"/>
          <w:kern w:val="0"/>
          <w:sz w:val="32"/>
          <w:szCs w:val="32"/>
        </w:rPr>
        <w:t>主要工业产品产量详见表3-4。</w:t>
      </w:r>
    </w:p>
    <w:p>
      <w:pPr>
        <w:adjustRightInd w:val="0"/>
        <w:spacing w:line="540" w:lineRule="exact"/>
        <w:ind w:firstLine="640" w:firstLineChars="200"/>
        <w:rPr>
          <w:rFonts w:ascii="仿宋_GB2312" w:eastAsia="仿宋_GB2312"/>
          <w:kern w:val="0"/>
          <w:sz w:val="32"/>
          <w:szCs w:val="32"/>
        </w:rPr>
      </w:pPr>
    </w:p>
    <w:tbl>
      <w:tblPr>
        <w:tblStyle w:val="4"/>
        <w:tblpPr w:leftFromText="180" w:rightFromText="180" w:vertAnchor="text" w:horzAnchor="page" w:tblpXSpec="center" w:tblpY="289"/>
        <w:tblOverlap w:val="never"/>
        <w:tblW w:w="8565" w:type="dxa"/>
        <w:jc w:val="center"/>
        <w:tblLayout w:type="fixed"/>
        <w:tblCellMar>
          <w:top w:w="0" w:type="dxa"/>
          <w:left w:w="0" w:type="dxa"/>
          <w:bottom w:w="0" w:type="dxa"/>
          <w:right w:w="0" w:type="dxa"/>
        </w:tblCellMar>
      </w:tblPr>
      <w:tblGrid>
        <w:gridCol w:w="4794"/>
        <w:gridCol w:w="1015"/>
        <w:gridCol w:w="2756"/>
      </w:tblGrid>
      <w:tr>
        <w:tblPrEx>
          <w:tblCellMar>
            <w:top w:w="0" w:type="dxa"/>
            <w:left w:w="0" w:type="dxa"/>
            <w:bottom w:w="0" w:type="dxa"/>
            <w:right w:w="0" w:type="dxa"/>
          </w:tblCellMar>
        </w:tblPrEx>
        <w:trPr>
          <w:trHeight w:val="397" w:hRule="exact"/>
          <w:jc w:val="center"/>
        </w:trPr>
        <w:tc>
          <w:tcPr>
            <w:tcW w:w="8565" w:type="dxa"/>
            <w:gridSpan w:val="3"/>
            <w:tcBorders>
              <w:top w:val="nil"/>
              <w:left w:val="nil"/>
              <w:bottom w:val="single" w:color="000000" w:sz="12" w:space="0"/>
              <w:right w:val="nil"/>
            </w:tcBorders>
            <w:shd w:val="clear" w:color="auto" w:fill="auto"/>
            <w:noWrap/>
            <w:tcMar>
              <w:top w:w="15" w:type="dxa"/>
              <w:left w:w="15" w:type="dxa"/>
              <w:right w:w="15" w:type="dxa"/>
            </w:tcMar>
            <w:vAlign w:val="bottom"/>
          </w:tcPr>
          <w:p>
            <w:pPr>
              <w:widowControl/>
              <w:spacing w:line="440" w:lineRule="exact"/>
              <w:jc w:val="center"/>
              <w:textAlignment w:val="bottom"/>
              <w:rPr>
                <w:rFonts w:ascii="黑体" w:hAnsi="黑体" w:eastAsia="黑体" w:cs="Calibri"/>
                <w:color w:val="000000"/>
                <w:sz w:val="24"/>
                <w:szCs w:val="24"/>
              </w:rPr>
            </w:pPr>
            <w:r>
              <w:rPr>
                <w:rFonts w:ascii="黑体" w:hAnsi="黑体" w:eastAsia="黑体" w:cs="Calibri"/>
                <w:color w:val="000000"/>
                <w:kern w:val="0"/>
                <w:sz w:val="24"/>
                <w:szCs w:val="24"/>
                <w:lang w:bidi="ar"/>
              </w:rPr>
              <w:t xml:space="preserve">表3-4 </w:t>
            </w:r>
            <w:r>
              <w:rPr>
                <w:rFonts w:hint="eastAsia" w:ascii="黑体" w:hAnsi="黑体" w:eastAsia="黑体" w:cs="宋体"/>
                <w:color w:val="000000"/>
                <w:kern w:val="0"/>
                <w:sz w:val="24"/>
                <w:szCs w:val="24"/>
                <w:lang w:bidi="ar"/>
              </w:rPr>
              <w:t>主要工业产品产量</w:t>
            </w:r>
          </w:p>
        </w:tc>
      </w:tr>
      <w:tr>
        <w:tblPrEx>
          <w:tblCellMar>
            <w:top w:w="0" w:type="dxa"/>
            <w:left w:w="0" w:type="dxa"/>
            <w:bottom w:w="0" w:type="dxa"/>
            <w:right w:w="0" w:type="dxa"/>
          </w:tblCellMar>
        </w:tblPrEx>
        <w:trPr>
          <w:trHeight w:val="397" w:hRule="exact"/>
          <w:jc w:val="center"/>
        </w:trPr>
        <w:tc>
          <w:tcPr>
            <w:tcW w:w="4794"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黑体" w:hAnsi="黑体" w:eastAsia="黑体" w:cs="Calibri"/>
                <w:color w:val="000000"/>
                <w:szCs w:val="21"/>
              </w:rPr>
            </w:pPr>
            <w:r>
              <w:rPr>
                <w:rFonts w:hint="eastAsia" w:ascii="黑体" w:hAnsi="黑体" w:eastAsia="黑体" w:cs="Calibri"/>
                <w:color w:val="000000"/>
                <w:kern w:val="0"/>
                <w:szCs w:val="21"/>
                <w:lang w:bidi="ar"/>
              </w:rPr>
              <w:t>产品名称</w:t>
            </w:r>
          </w:p>
        </w:tc>
        <w:tc>
          <w:tcPr>
            <w:tcW w:w="1015" w:type="dxa"/>
            <w:tcBorders>
              <w:top w:val="single" w:color="000000" w:sz="12" w:space="0"/>
              <w:left w:val="nil"/>
              <w:bottom w:val="single" w:color="000000" w:sz="8" w:space="0"/>
              <w:right w:val="single" w:color="000000" w:sz="8" w:space="0"/>
            </w:tcBorders>
            <w:shd w:val="clear" w:color="auto" w:fill="auto"/>
            <w:tcMar>
              <w:top w:w="15" w:type="dxa"/>
              <w:left w:w="15" w:type="dxa"/>
              <w:right w:w="15" w:type="dxa"/>
            </w:tcMar>
            <w:vAlign w:val="bottom"/>
          </w:tcPr>
          <w:p>
            <w:pPr>
              <w:widowControl/>
              <w:jc w:val="center"/>
              <w:textAlignment w:val="bottom"/>
              <w:rPr>
                <w:rFonts w:ascii="黑体" w:hAnsi="黑体" w:eastAsia="黑体" w:cs="宋体"/>
                <w:color w:val="000000"/>
                <w:szCs w:val="21"/>
              </w:rPr>
            </w:pPr>
            <w:r>
              <w:rPr>
                <w:rFonts w:hint="eastAsia" w:ascii="黑体" w:hAnsi="黑体" w:eastAsia="黑体" w:cs="宋体"/>
                <w:color w:val="000000"/>
                <w:kern w:val="0"/>
                <w:szCs w:val="21"/>
                <w:lang w:bidi="ar"/>
              </w:rPr>
              <w:t>单位</w:t>
            </w:r>
          </w:p>
        </w:tc>
        <w:tc>
          <w:tcPr>
            <w:tcW w:w="2756" w:type="dxa"/>
            <w:tcBorders>
              <w:top w:val="single" w:color="000000" w:sz="12" w:space="0"/>
              <w:left w:val="nil"/>
              <w:bottom w:val="single" w:color="000000" w:sz="8" w:space="0"/>
              <w:right w:val="nil"/>
            </w:tcBorders>
            <w:shd w:val="clear" w:color="auto" w:fill="auto"/>
            <w:tcMar>
              <w:top w:w="15" w:type="dxa"/>
              <w:left w:w="15" w:type="dxa"/>
              <w:right w:w="15" w:type="dxa"/>
            </w:tcMar>
            <w:vAlign w:val="bottom"/>
          </w:tcPr>
          <w:p>
            <w:pPr>
              <w:widowControl/>
              <w:jc w:val="center"/>
              <w:textAlignment w:val="bottom"/>
              <w:rPr>
                <w:rFonts w:ascii="黑体" w:hAnsi="黑体" w:eastAsia="黑体" w:cs="Calibri"/>
                <w:color w:val="000000"/>
                <w:szCs w:val="21"/>
              </w:rPr>
            </w:pPr>
            <w:r>
              <w:rPr>
                <w:rFonts w:hint="eastAsia" w:ascii="黑体" w:hAnsi="黑体" w:eastAsia="黑体" w:cs="Calibri"/>
                <w:color w:val="000000"/>
                <w:kern w:val="0"/>
                <w:szCs w:val="21"/>
                <w:lang w:bidi="ar"/>
              </w:rPr>
              <w:t>产量</w:t>
            </w:r>
          </w:p>
        </w:tc>
      </w:tr>
      <w:tr>
        <w:tblPrEx>
          <w:tblCellMar>
            <w:top w:w="0" w:type="dxa"/>
            <w:left w:w="0" w:type="dxa"/>
            <w:bottom w:w="0" w:type="dxa"/>
            <w:right w:w="0" w:type="dxa"/>
          </w:tblCellMar>
        </w:tblPrEx>
        <w:trPr>
          <w:trHeight w:val="397" w:hRule="exact"/>
          <w:jc w:val="center"/>
        </w:trPr>
        <w:tc>
          <w:tcPr>
            <w:tcW w:w="4794" w:type="dxa"/>
            <w:tcBorders>
              <w:top w:val="nil"/>
              <w:left w:val="nil"/>
              <w:bottom w:val="nil"/>
              <w:right w:val="single" w:color="000000" w:sz="8" w:space="0"/>
            </w:tcBorders>
            <w:shd w:val="clear" w:color="auto" w:fill="auto"/>
            <w:noWrap/>
            <w:tcMar>
              <w:top w:w="15" w:type="dxa"/>
              <w:left w:w="15" w:type="dxa"/>
              <w:right w:w="15" w:type="dxa"/>
            </w:tcMar>
            <w:vAlign w:val="bottom"/>
          </w:tcPr>
          <w:p>
            <w:pPr>
              <w:widowControl/>
              <w:spacing w:line="440" w:lineRule="exact"/>
              <w:ind w:left="210" w:leftChars="100"/>
              <w:jc w:val="left"/>
              <w:textAlignment w:val="bottom"/>
              <w:rPr>
                <w:rFonts w:ascii="仿宋_GB2312" w:eastAsia="仿宋_GB2312" w:cs="Calibri"/>
                <w:color w:val="000000"/>
                <w:szCs w:val="21"/>
              </w:rPr>
            </w:pPr>
            <w:r>
              <w:rPr>
                <w:rFonts w:hint="eastAsia" w:ascii="仿宋_GB2312" w:eastAsia="仿宋_GB2312" w:cs="Calibri"/>
                <w:color w:val="000000"/>
                <w:kern w:val="0"/>
                <w:szCs w:val="21"/>
                <w:lang w:bidi="ar"/>
              </w:rPr>
              <w:t>纱</w:t>
            </w:r>
          </w:p>
        </w:tc>
        <w:tc>
          <w:tcPr>
            <w:tcW w:w="1015" w:type="dxa"/>
            <w:tcBorders>
              <w:top w:val="nil"/>
              <w:left w:val="nil"/>
              <w:bottom w:val="nil"/>
              <w:right w:val="single" w:color="000000" w:sz="8" w:space="0"/>
            </w:tcBorders>
            <w:shd w:val="clear" w:color="auto" w:fill="auto"/>
            <w:noWrap/>
            <w:tcMar>
              <w:top w:w="15" w:type="dxa"/>
              <w:left w:w="15" w:type="dxa"/>
              <w:right w:w="15" w:type="dxa"/>
            </w:tcMar>
            <w:vAlign w:val="bottom"/>
          </w:tcPr>
          <w:p>
            <w:pPr>
              <w:widowControl/>
              <w:spacing w:line="440" w:lineRule="exact"/>
              <w:ind w:left="210" w:leftChars="100"/>
              <w:jc w:val="left"/>
              <w:textAlignment w:val="bottom"/>
              <w:rPr>
                <w:rFonts w:ascii="仿宋_GB2312" w:eastAsia="仿宋_GB2312" w:cs="Calibri"/>
                <w:color w:val="000000"/>
                <w:szCs w:val="21"/>
              </w:rPr>
            </w:pPr>
            <w:r>
              <w:rPr>
                <w:rFonts w:hint="eastAsia" w:ascii="仿宋_GB2312" w:eastAsia="仿宋_GB2312" w:cs="Calibri"/>
                <w:color w:val="000000"/>
                <w:kern w:val="0"/>
                <w:szCs w:val="21"/>
                <w:lang w:bidi="ar"/>
              </w:rPr>
              <w:t>万吨</w:t>
            </w:r>
          </w:p>
        </w:tc>
        <w:tc>
          <w:tcPr>
            <w:tcW w:w="2756" w:type="dxa"/>
            <w:tcBorders>
              <w:top w:val="nil"/>
              <w:left w:val="nil"/>
              <w:bottom w:val="nil"/>
              <w:right w:val="nil"/>
            </w:tcBorders>
            <w:shd w:val="clear" w:color="auto" w:fill="auto"/>
            <w:noWrap/>
            <w:tcMar>
              <w:top w:w="15" w:type="dxa"/>
              <w:left w:w="15" w:type="dxa"/>
              <w:right w:w="15" w:type="dxa"/>
            </w:tcMar>
            <w:vAlign w:val="center"/>
          </w:tcPr>
          <w:p>
            <w:pPr>
              <w:widowControl/>
              <w:ind w:right="1155" w:rightChars="55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4.55</w:t>
            </w:r>
          </w:p>
        </w:tc>
      </w:tr>
      <w:tr>
        <w:tblPrEx>
          <w:tblCellMar>
            <w:top w:w="0" w:type="dxa"/>
            <w:left w:w="0" w:type="dxa"/>
            <w:bottom w:w="0" w:type="dxa"/>
            <w:right w:w="0" w:type="dxa"/>
          </w:tblCellMar>
        </w:tblPrEx>
        <w:trPr>
          <w:trHeight w:val="397" w:hRule="exact"/>
          <w:jc w:val="center"/>
        </w:trPr>
        <w:tc>
          <w:tcPr>
            <w:tcW w:w="4794" w:type="dxa"/>
            <w:tcBorders>
              <w:top w:val="nil"/>
              <w:left w:val="nil"/>
              <w:bottom w:val="nil"/>
              <w:right w:val="single" w:color="000000" w:sz="8" w:space="0"/>
            </w:tcBorders>
            <w:shd w:val="clear" w:color="auto" w:fill="auto"/>
            <w:noWrap/>
            <w:tcMar>
              <w:top w:w="15" w:type="dxa"/>
              <w:left w:w="15" w:type="dxa"/>
              <w:right w:w="15" w:type="dxa"/>
            </w:tcMar>
            <w:vAlign w:val="bottom"/>
          </w:tcPr>
          <w:p>
            <w:pPr>
              <w:widowControl/>
              <w:spacing w:line="440" w:lineRule="exact"/>
              <w:ind w:left="210" w:leftChars="100"/>
              <w:jc w:val="left"/>
              <w:textAlignment w:val="bottom"/>
              <w:rPr>
                <w:rFonts w:ascii="仿宋_GB2312" w:eastAsia="仿宋_GB2312" w:cs="Calibri"/>
                <w:color w:val="000000"/>
                <w:szCs w:val="21"/>
              </w:rPr>
            </w:pPr>
            <w:r>
              <w:rPr>
                <w:rFonts w:hint="eastAsia" w:ascii="仿宋_GB2312" w:eastAsia="仿宋_GB2312" w:cs="Calibri"/>
                <w:color w:val="000000"/>
                <w:kern w:val="0"/>
                <w:szCs w:val="21"/>
                <w:lang w:bidi="ar"/>
              </w:rPr>
              <w:t>布</w:t>
            </w:r>
          </w:p>
        </w:tc>
        <w:tc>
          <w:tcPr>
            <w:tcW w:w="1015" w:type="dxa"/>
            <w:tcBorders>
              <w:top w:val="nil"/>
              <w:left w:val="nil"/>
              <w:bottom w:val="nil"/>
              <w:right w:val="single" w:color="000000" w:sz="8" w:space="0"/>
            </w:tcBorders>
            <w:shd w:val="clear" w:color="auto" w:fill="auto"/>
            <w:noWrap/>
            <w:tcMar>
              <w:top w:w="15" w:type="dxa"/>
              <w:left w:w="15" w:type="dxa"/>
              <w:right w:w="15" w:type="dxa"/>
            </w:tcMar>
            <w:vAlign w:val="bottom"/>
          </w:tcPr>
          <w:p>
            <w:pPr>
              <w:widowControl/>
              <w:spacing w:line="440" w:lineRule="exact"/>
              <w:ind w:left="210" w:leftChars="100"/>
              <w:jc w:val="left"/>
              <w:textAlignment w:val="bottom"/>
              <w:rPr>
                <w:rFonts w:ascii="仿宋_GB2312" w:eastAsia="仿宋_GB2312" w:cs="Calibri"/>
                <w:color w:val="000000"/>
                <w:szCs w:val="21"/>
              </w:rPr>
            </w:pPr>
            <w:r>
              <w:rPr>
                <w:rFonts w:hint="eastAsia" w:ascii="仿宋_GB2312" w:eastAsia="仿宋_GB2312" w:cs="Calibri"/>
                <w:color w:val="000000"/>
                <w:kern w:val="0"/>
                <w:szCs w:val="21"/>
                <w:lang w:bidi="ar"/>
              </w:rPr>
              <w:t>亿米</w:t>
            </w:r>
          </w:p>
        </w:tc>
        <w:tc>
          <w:tcPr>
            <w:tcW w:w="2756" w:type="dxa"/>
            <w:tcBorders>
              <w:top w:val="nil"/>
              <w:left w:val="nil"/>
              <w:bottom w:val="nil"/>
              <w:right w:val="nil"/>
            </w:tcBorders>
            <w:shd w:val="clear" w:color="auto" w:fill="auto"/>
            <w:noWrap/>
            <w:tcMar>
              <w:top w:w="15" w:type="dxa"/>
              <w:left w:w="15" w:type="dxa"/>
              <w:right w:w="15" w:type="dxa"/>
            </w:tcMar>
            <w:vAlign w:val="center"/>
          </w:tcPr>
          <w:p>
            <w:pPr>
              <w:widowControl/>
              <w:ind w:right="1155" w:rightChars="55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6.23</w:t>
            </w:r>
          </w:p>
        </w:tc>
      </w:tr>
      <w:tr>
        <w:tblPrEx>
          <w:tblCellMar>
            <w:top w:w="0" w:type="dxa"/>
            <w:left w:w="0" w:type="dxa"/>
            <w:bottom w:w="0" w:type="dxa"/>
            <w:right w:w="0" w:type="dxa"/>
          </w:tblCellMar>
        </w:tblPrEx>
        <w:trPr>
          <w:trHeight w:val="397" w:hRule="exact"/>
          <w:jc w:val="center"/>
        </w:trPr>
        <w:tc>
          <w:tcPr>
            <w:tcW w:w="4794" w:type="dxa"/>
            <w:tcBorders>
              <w:top w:val="nil"/>
              <w:left w:val="nil"/>
              <w:bottom w:val="nil"/>
              <w:right w:val="single" w:color="000000" w:sz="8" w:space="0"/>
            </w:tcBorders>
            <w:shd w:val="clear" w:color="auto" w:fill="auto"/>
            <w:noWrap/>
            <w:tcMar>
              <w:top w:w="15" w:type="dxa"/>
              <w:left w:w="15" w:type="dxa"/>
              <w:right w:w="15" w:type="dxa"/>
            </w:tcMar>
            <w:vAlign w:val="bottom"/>
          </w:tcPr>
          <w:p>
            <w:pPr>
              <w:widowControl/>
              <w:spacing w:line="440" w:lineRule="exact"/>
              <w:ind w:left="210" w:leftChars="100"/>
              <w:jc w:val="left"/>
              <w:textAlignment w:val="bottom"/>
              <w:rPr>
                <w:rFonts w:ascii="仿宋_GB2312" w:eastAsia="仿宋_GB2312" w:cs="Calibri"/>
                <w:color w:val="000000"/>
                <w:szCs w:val="21"/>
              </w:rPr>
            </w:pPr>
            <w:r>
              <w:rPr>
                <w:rFonts w:hint="eastAsia" w:ascii="仿宋_GB2312" w:eastAsia="仿宋_GB2312" w:cs="Calibri"/>
                <w:color w:val="000000"/>
                <w:kern w:val="0"/>
                <w:szCs w:val="21"/>
                <w:lang w:bidi="ar"/>
              </w:rPr>
              <w:t>粗钢</w:t>
            </w:r>
          </w:p>
        </w:tc>
        <w:tc>
          <w:tcPr>
            <w:tcW w:w="1015" w:type="dxa"/>
            <w:tcBorders>
              <w:top w:val="nil"/>
              <w:left w:val="nil"/>
              <w:bottom w:val="nil"/>
              <w:right w:val="single" w:color="000000" w:sz="8" w:space="0"/>
            </w:tcBorders>
            <w:shd w:val="clear" w:color="auto" w:fill="auto"/>
            <w:noWrap/>
            <w:tcMar>
              <w:top w:w="15" w:type="dxa"/>
              <w:left w:w="15" w:type="dxa"/>
              <w:right w:w="15" w:type="dxa"/>
            </w:tcMar>
            <w:vAlign w:val="bottom"/>
          </w:tcPr>
          <w:p>
            <w:pPr>
              <w:widowControl/>
              <w:spacing w:line="440" w:lineRule="exact"/>
              <w:ind w:left="210" w:leftChars="100"/>
              <w:jc w:val="left"/>
              <w:textAlignment w:val="bottom"/>
              <w:rPr>
                <w:rFonts w:ascii="仿宋_GB2312" w:eastAsia="仿宋_GB2312" w:cs="Calibri"/>
                <w:color w:val="000000"/>
                <w:szCs w:val="21"/>
              </w:rPr>
            </w:pPr>
            <w:r>
              <w:rPr>
                <w:rFonts w:hint="eastAsia" w:ascii="仿宋_GB2312" w:eastAsia="仿宋_GB2312" w:cs="Calibri"/>
                <w:color w:val="000000"/>
                <w:kern w:val="0"/>
                <w:szCs w:val="21"/>
                <w:lang w:bidi="ar"/>
              </w:rPr>
              <w:t>万吨</w:t>
            </w:r>
          </w:p>
        </w:tc>
        <w:tc>
          <w:tcPr>
            <w:tcW w:w="2756" w:type="dxa"/>
            <w:tcBorders>
              <w:top w:val="nil"/>
              <w:left w:val="nil"/>
              <w:bottom w:val="nil"/>
              <w:right w:val="nil"/>
            </w:tcBorders>
            <w:shd w:val="clear" w:color="auto" w:fill="auto"/>
            <w:noWrap/>
            <w:tcMar>
              <w:top w:w="15" w:type="dxa"/>
              <w:left w:w="15" w:type="dxa"/>
              <w:right w:w="15" w:type="dxa"/>
            </w:tcMar>
            <w:vAlign w:val="center"/>
          </w:tcPr>
          <w:p>
            <w:pPr>
              <w:widowControl/>
              <w:ind w:right="1155" w:rightChars="55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219.94</w:t>
            </w:r>
          </w:p>
        </w:tc>
      </w:tr>
      <w:tr>
        <w:tblPrEx>
          <w:tblCellMar>
            <w:top w:w="0" w:type="dxa"/>
            <w:left w:w="0" w:type="dxa"/>
            <w:bottom w:w="0" w:type="dxa"/>
            <w:right w:w="0" w:type="dxa"/>
          </w:tblCellMar>
        </w:tblPrEx>
        <w:trPr>
          <w:trHeight w:val="397" w:hRule="exact"/>
          <w:jc w:val="center"/>
        </w:trPr>
        <w:tc>
          <w:tcPr>
            <w:tcW w:w="4794" w:type="dxa"/>
            <w:tcBorders>
              <w:top w:val="nil"/>
              <w:left w:val="nil"/>
              <w:bottom w:val="nil"/>
              <w:right w:val="single" w:color="000000" w:sz="8" w:space="0"/>
            </w:tcBorders>
            <w:shd w:val="clear" w:color="auto" w:fill="auto"/>
            <w:noWrap/>
            <w:tcMar>
              <w:top w:w="15" w:type="dxa"/>
              <w:left w:w="15" w:type="dxa"/>
              <w:right w:w="15" w:type="dxa"/>
            </w:tcMar>
            <w:vAlign w:val="bottom"/>
          </w:tcPr>
          <w:p>
            <w:pPr>
              <w:widowControl/>
              <w:spacing w:line="440" w:lineRule="exact"/>
              <w:ind w:left="210" w:leftChars="100"/>
              <w:jc w:val="left"/>
              <w:textAlignment w:val="bottom"/>
              <w:rPr>
                <w:rFonts w:ascii="仿宋_GB2312" w:eastAsia="仿宋_GB2312" w:cs="Calibri"/>
                <w:color w:val="000000"/>
                <w:szCs w:val="21"/>
              </w:rPr>
            </w:pPr>
            <w:r>
              <w:rPr>
                <w:rFonts w:hint="eastAsia" w:ascii="仿宋_GB2312" w:eastAsia="仿宋_GB2312" w:cs="Calibri"/>
                <w:color w:val="000000"/>
                <w:kern w:val="0"/>
                <w:szCs w:val="21"/>
                <w:lang w:bidi="ar"/>
              </w:rPr>
              <w:t>钢材</w:t>
            </w:r>
          </w:p>
        </w:tc>
        <w:tc>
          <w:tcPr>
            <w:tcW w:w="1015" w:type="dxa"/>
            <w:tcBorders>
              <w:top w:val="nil"/>
              <w:left w:val="nil"/>
              <w:bottom w:val="nil"/>
              <w:right w:val="single" w:color="000000" w:sz="8" w:space="0"/>
            </w:tcBorders>
            <w:shd w:val="clear" w:color="auto" w:fill="auto"/>
            <w:noWrap/>
            <w:tcMar>
              <w:top w:w="15" w:type="dxa"/>
              <w:left w:w="15" w:type="dxa"/>
              <w:right w:w="15" w:type="dxa"/>
            </w:tcMar>
            <w:vAlign w:val="bottom"/>
          </w:tcPr>
          <w:p>
            <w:pPr>
              <w:widowControl/>
              <w:spacing w:line="440" w:lineRule="exact"/>
              <w:ind w:left="210" w:leftChars="100"/>
              <w:jc w:val="left"/>
              <w:textAlignment w:val="bottom"/>
              <w:rPr>
                <w:rFonts w:ascii="仿宋_GB2312" w:eastAsia="仿宋_GB2312" w:cs="Calibri"/>
                <w:color w:val="000000"/>
                <w:szCs w:val="21"/>
              </w:rPr>
            </w:pPr>
            <w:r>
              <w:rPr>
                <w:rFonts w:hint="eastAsia" w:ascii="仿宋_GB2312" w:eastAsia="仿宋_GB2312" w:cs="Calibri"/>
                <w:color w:val="000000"/>
                <w:kern w:val="0"/>
                <w:szCs w:val="21"/>
                <w:lang w:bidi="ar"/>
              </w:rPr>
              <w:t>万吨</w:t>
            </w:r>
          </w:p>
        </w:tc>
        <w:tc>
          <w:tcPr>
            <w:tcW w:w="2756" w:type="dxa"/>
            <w:tcBorders>
              <w:top w:val="nil"/>
              <w:left w:val="nil"/>
              <w:bottom w:val="nil"/>
              <w:right w:val="nil"/>
            </w:tcBorders>
            <w:shd w:val="clear" w:color="auto" w:fill="auto"/>
            <w:noWrap/>
            <w:tcMar>
              <w:top w:w="15" w:type="dxa"/>
              <w:left w:w="15" w:type="dxa"/>
              <w:right w:w="15" w:type="dxa"/>
            </w:tcMar>
            <w:vAlign w:val="center"/>
          </w:tcPr>
          <w:p>
            <w:pPr>
              <w:widowControl/>
              <w:ind w:right="1155" w:rightChars="55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631.32</w:t>
            </w:r>
          </w:p>
        </w:tc>
      </w:tr>
      <w:tr>
        <w:tblPrEx>
          <w:tblCellMar>
            <w:top w:w="0" w:type="dxa"/>
            <w:left w:w="0" w:type="dxa"/>
            <w:bottom w:w="0" w:type="dxa"/>
            <w:right w:w="0" w:type="dxa"/>
          </w:tblCellMar>
        </w:tblPrEx>
        <w:trPr>
          <w:trHeight w:val="397" w:hRule="exact"/>
          <w:jc w:val="center"/>
        </w:trPr>
        <w:tc>
          <w:tcPr>
            <w:tcW w:w="4794" w:type="dxa"/>
            <w:tcBorders>
              <w:top w:val="nil"/>
              <w:left w:val="nil"/>
              <w:bottom w:val="nil"/>
              <w:right w:val="single" w:color="000000" w:sz="8" w:space="0"/>
            </w:tcBorders>
            <w:shd w:val="clear" w:color="auto" w:fill="auto"/>
            <w:noWrap/>
            <w:tcMar>
              <w:top w:w="15" w:type="dxa"/>
              <w:left w:w="15" w:type="dxa"/>
              <w:right w:w="15" w:type="dxa"/>
            </w:tcMar>
            <w:vAlign w:val="bottom"/>
          </w:tcPr>
          <w:p>
            <w:pPr>
              <w:widowControl/>
              <w:spacing w:line="440" w:lineRule="exact"/>
              <w:ind w:left="210" w:leftChars="100"/>
              <w:jc w:val="left"/>
              <w:textAlignment w:val="bottom"/>
              <w:rPr>
                <w:rFonts w:ascii="仿宋_GB2312" w:eastAsia="仿宋_GB2312" w:cs="Calibri"/>
                <w:color w:val="000000"/>
                <w:szCs w:val="21"/>
              </w:rPr>
            </w:pPr>
            <w:r>
              <w:rPr>
                <w:rFonts w:hint="eastAsia" w:ascii="仿宋_GB2312" w:eastAsia="仿宋_GB2312" w:cs="Calibri"/>
                <w:color w:val="000000"/>
                <w:kern w:val="0"/>
                <w:szCs w:val="21"/>
                <w:lang w:bidi="ar"/>
              </w:rPr>
              <w:t>水泥</w:t>
            </w:r>
          </w:p>
        </w:tc>
        <w:tc>
          <w:tcPr>
            <w:tcW w:w="1015" w:type="dxa"/>
            <w:tcBorders>
              <w:top w:val="nil"/>
              <w:left w:val="nil"/>
              <w:bottom w:val="nil"/>
              <w:right w:val="single" w:color="000000" w:sz="8" w:space="0"/>
            </w:tcBorders>
            <w:shd w:val="clear" w:color="auto" w:fill="auto"/>
            <w:noWrap/>
            <w:tcMar>
              <w:top w:w="15" w:type="dxa"/>
              <w:left w:w="15" w:type="dxa"/>
              <w:right w:w="15" w:type="dxa"/>
            </w:tcMar>
            <w:vAlign w:val="bottom"/>
          </w:tcPr>
          <w:p>
            <w:pPr>
              <w:widowControl/>
              <w:spacing w:line="440" w:lineRule="exact"/>
              <w:ind w:left="210" w:leftChars="100"/>
              <w:jc w:val="left"/>
              <w:textAlignment w:val="bottom"/>
              <w:rPr>
                <w:rFonts w:ascii="仿宋_GB2312" w:eastAsia="仿宋_GB2312" w:cs="Calibri"/>
                <w:color w:val="000000"/>
                <w:szCs w:val="21"/>
              </w:rPr>
            </w:pPr>
            <w:r>
              <w:rPr>
                <w:rFonts w:hint="eastAsia" w:ascii="仿宋_GB2312" w:eastAsia="仿宋_GB2312" w:cs="Calibri"/>
                <w:color w:val="000000"/>
                <w:kern w:val="0"/>
                <w:szCs w:val="21"/>
                <w:lang w:bidi="ar"/>
              </w:rPr>
              <w:t>亿吨</w:t>
            </w:r>
          </w:p>
        </w:tc>
        <w:tc>
          <w:tcPr>
            <w:tcW w:w="2756" w:type="dxa"/>
            <w:tcBorders>
              <w:top w:val="nil"/>
              <w:left w:val="nil"/>
              <w:bottom w:val="nil"/>
              <w:right w:val="nil"/>
            </w:tcBorders>
            <w:shd w:val="clear" w:color="auto" w:fill="auto"/>
            <w:noWrap/>
            <w:tcMar>
              <w:top w:w="15" w:type="dxa"/>
              <w:left w:w="15" w:type="dxa"/>
              <w:right w:w="15" w:type="dxa"/>
            </w:tcMar>
            <w:vAlign w:val="center"/>
          </w:tcPr>
          <w:p>
            <w:pPr>
              <w:widowControl/>
              <w:ind w:right="1155" w:rightChars="55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0.24</w:t>
            </w:r>
          </w:p>
        </w:tc>
      </w:tr>
      <w:tr>
        <w:tblPrEx>
          <w:tblCellMar>
            <w:top w:w="0" w:type="dxa"/>
            <w:left w:w="0" w:type="dxa"/>
            <w:bottom w:w="0" w:type="dxa"/>
            <w:right w:w="0" w:type="dxa"/>
          </w:tblCellMar>
        </w:tblPrEx>
        <w:trPr>
          <w:trHeight w:val="397" w:hRule="exact"/>
          <w:jc w:val="center"/>
        </w:trPr>
        <w:tc>
          <w:tcPr>
            <w:tcW w:w="4794" w:type="dxa"/>
            <w:tcBorders>
              <w:top w:val="nil"/>
              <w:left w:val="nil"/>
              <w:bottom w:val="nil"/>
              <w:right w:val="single" w:color="000000" w:sz="8" w:space="0"/>
            </w:tcBorders>
            <w:shd w:val="clear" w:color="auto" w:fill="auto"/>
            <w:noWrap/>
            <w:tcMar>
              <w:top w:w="15" w:type="dxa"/>
              <w:left w:w="15" w:type="dxa"/>
              <w:right w:w="15" w:type="dxa"/>
            </w:tcMar>
            <w:vAlign w:val="bottom"/>
          </w:tcPr>
          <w:p>
            <w:pPr>
              <w:widowControl/>
              <w:spacing w:line="440" w:lineRule="exact"/>
              <w:ind w:left="210" w:leftChars="100"/>
              <w:jc w:val="left"/>
              <w:textAlignment w:val="bottom"/>
              <w:rPr>
                <w:rFonts w:ascii="仿宋_GB2312" w:eastAsia="仿宋_GB2312" w:cs="Calibri"/>
                <w:color w:val="000000"/>
                <w:szCs w:val="21"/>
              </w:rPr>
            </w:pPr>
            <w:r>
              <w:rPr>
                <w:rFonts w:hint="eastAsia" w:ascii="仿宋_GB2312" w:eastAsia="仿宋_GB2312" w:cs="Calibri"/>
                <w:color w:val="000000"/>
                <w:kern w:val="0"/>
                <w:szCs w:val="21"/>
                <w:lang w:bidi="ar"/>
              </w:rPr>
              <w:t>烧碱（折100%）</w:t>
            </w:r>
          </w:p>
        </w:tc>
        <w:tc>
          <w:tcPr>
            <w:tcW w:w="1015" w:type="dxa"/>
            <w:tcBorders>
              <w:top w:val="nil"/>
              <w:left w:val="nil"/>
              <w:bottom w:val="nil"/>
              <w:right w:val="single" w:color="000000" w:sz="8" w:space="0"/>
            </w:tcBorders>
            <w:shd w:val="clear" w:color="auto" w:fill="auto"/>
            <w:noWrap/>
            <w:tcMar>
              <w:top w:w="15" w:type="dxa"/>
              <w:left w:w="15" w:type="dxa"/>
              <w:right w:w="15" w:type="dxa"/>
            </w:tcMar>
            <w:vAlign w:val="bottom"/>
          </w:tcPr>
          <w:p>
            <w:pPr>
              <w:widowControl/>
              <w:spacing w:line="440" w:lineRule="exact"/>
              <w:ind w:left="210" w:leftChars="100"/>
              <w:jc w:val="left"/>
              <w:textAlignment w:val="bottom"/>
              <w:rPr>
                <w:rFonts w:ascii="仿宋_GB2312" w:eastAsia="仿宋_GB2312" w:cs="Calibri"/>
                <w:color w:val="000000"/>
                <w:szCs w:val="21"/>
              </w:rPr>
            </w:pPr>
            <w:r>
              <w:rPr>
                <w:rFonts w:hint="eastAsia" w:ascii="仿宋_GB2312" w:eastAsia="仿宋_GB2312" w:cs="Calibri"/>
                <w:color w:val="000000"/>
                <w:kern w:val="0"/>
                <w:szCs w:val="21"/>
                <w:lang w:bidi="ar"/>
              </w:rPr>
              <w:t>万吨</w:t>
            </w:r>
          </w:p>
        </w:tc>
        <w:tc>
          <w:tcPr>
            <w:tcW w:w="2756" w:type="dxa"/>
            <w:tcBorders>
              <w:top w:val="nil"/>
              <w:left w:val="nil"/>
              <w:bottom w:val="nil"/>
              <w:right w:val="nil"/>
            </w:tcBorders>
            <w:shd w:val="clear" w:color="auto" w:fill="auto"/>
            <w:noWrap/>
            <w:tcMar>
              <w:top w:w="15" w:type="dxa"/>
              <w:left w:w="15" w:type="dxa"/>
              <w:right w:w="15" w:type="dxa"/>
            </w:tcMar>
            <w:vAlign w:val="center"/>
          </w:tcPr>
          <w:p>
            <w:pPr>
              <w:widowControl/>
              <w:ind w:right="1155" w:rightChars="55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29.32</w:t>
            </w:r>
          </w:p>
        </w:tc>
      </w:tr>
      <w:tr>
        <w:tblPrEx>
          <w:tblCellMar>
            <w:top w:w="0" w:type="dxa"/>
            <w:left w:w="0" w:type="dxa"/>
            <w:bottom w:w="0" w:type="dxa"/>
            <w:right w:w="0" w:type="dxa"/>
          </w:tblCellMar>
        </w:tblPrEx>
        <w:trPr>
          <w:trHeight w:val="397" w:hRule="exact"/>
          <w:jc w:val="center"/>
        </w:trPr>
        <w:tc>
          <w:tcPr>
            <w:tcW w:w="4794" w:type="dxa"/>
            <w:tcBorders>
              <w:top w:val="nil"/>
              <w:left w:val="nil"/>
              <w:bottom w:val="nil"/>
              <w:right w:val="single" w:color="000000" w:sz="8" w:space="0"/>
            </w:tcBorders>
            <w:shd w:val="clear" w:color="auto" w:fill="auto"/>
            <w:noWrap/>
            <w:tcMar>
              <w:top w:w="15" w:type="dxa"/>
              <w:left w:w="15" w:type="dxa"/>
              <w:right w:w="15" w:type="dxa"/>
            </w:tcMar>
            <w:vAlign w:val="bottom"/>
          </w:tcPr>
          <w:p>
            <w:pPr>
              <w:widowControl/>
              <w:spacing w:line="440" w:lineRule="exact"/>
              <w:ind w:left="210" w:leftChars="100"/>
              <w:jc w:val="left"/>
              <w:textAlignment w:val="bottom"/>
              <w:rPr>
                <w:rFonts w:ascii="仿宋_GB2312" w:eastAsia="仿宋_GB2312" w:cs="Calibri"/>
                <w:color w:val="000000"/>
                <w:szCs w:val="21"/>
              </w:rPr>
            </w:pPr>
            <w:r>
              <w:rPr>
                <w:rFonts w:hint="eastAsia" w:ascii="仿宋_GB2312" w:eastAsia="仿宋_GB2312" w:cs="Calibri"/>
                <w:color w:val="000000"/>
                <w:kern w:val="0"/>
                <w:szCs w:val="21"/>
                <w:lang w:bidi="ar"/>
              </w:rPr>
              <w:t>化肥（折100%）</w:t>
            </w:r>
          </w:p>
        </w:tc>
        <w:tc>
          <w:tcPr>
            <w:tcW w:w="1015" w:type="dxa"/>
            <w:tcBorders>
              <w:top w:val="nil"/>
              <w:left w:val="nil"/>
              <w:bottom w:val="nil"/>
              <w:right w:val="single" w:color="000000" w:sz="8" w:space="0"/>
            </w:tcBorders>
            <w:shd w:val="clear" w:color="auto" w:fill="auto"/>
            <w:noWrap/>
            <w:tcMar>
              <w:top w:w="15" w:type="dxa"/>
              <w:left w:w="15" w:type="dxa"/>
              <w:right w:w="15" w:type="dxa"/>
            </w:tcMar>
            <w:vAlign w:val="bottom"/>
          </w:tcPr>
          <w:p>
            <w:pPr>
              <w:widowControl/>
              <w:spacing w:line="440" w:lineRule="exact"/>
              <w:ind w:left="210" w:leftChars="100"/>
              <w:jc w:val="left"/>
              <w:textAlignment w:val="bottom"/>
              <w:rPr>
                <w:rFonts w:ascii="仿宋_GB2312" w:eastAsia="仿宋_GB2312" w:cs="Calibri"/>
                <w:color w:val="000000"/>
                <w:szCs w:val="21"/>
              </w:rPr>
            </w:pPr>
            <w:r>
              <w:rPr>
                <w:rFonts w:hint="eastAsia" w:ascii="仿宋_GB2312" w:eastAsia="仿宋_GB2312" w:cs="Calibri"/>
                <w:color w:val="000000"/>
                <w:kern w:val="0"/>
                <w:szCs w:val="21"/>
                <w:lang w:bidi="ar"/>
              </w:rPr>
              <w:t>万吨</w:t>
            </w:r>
          </w:p>
        </w:tc>
        <w:tc>
          <w:tcPr>
            <w:tcW w:w="2756" w:type="dxa"/>
            <w:tcBorders>
              <w:top w:val="nil"/>
              <w:left w:val="nil"/>
              <w:bottom w:val="nil"/>
              <w:right w:val="nil"/>
            </w:tcBorders>
            <w:shd w:val="clear" w:color="auto" w:fill="auto"/>
            <w:noWrap/>
            <w:tcMar>
              <w:top w:w="15" w:type="dxa"/>
              <w:left w:w="15" w:type="dxa"/>
              <w:right w:w="15" w:type="dxa"/>
            </w:tcMar>
            <w:vAlign w:val="center"/>
          </w:tcPr>
          <w:p>
            <w:pPr>
              <w:widowControl/>
              <w:ind w:right="1155" w:rightChars="55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35.88</w:t>
            </w:r>
          </w:p>
        </w:tc>
      </w:tr>
      <w:tr>
        <w:tblPrEx>
          <w:tblCellMar>
            <w:top w:w="0" w:type="dxa"/>
            <w:left w:w="0" w:type="dxa"/>
            <w:bottom w:w="0" w:type="dxa"/>
            <w:right w:w="0" w:type="dxa"/>
          </w:tblCellMar>
        </w:tblPrEx>
        <w:trPr>
          <w:trHeight w:val="397" w:hRule="exact"/>
          <w:jc w:val="center"/>
        </w:trPr>
        <w:tc>
          <w:tcPr>
            <w:tcW w:w="4794" w:type="dxa"/>
            <w:tcBorders>
              <w:top w:val="nil"/>
              <w:left w:val="nil"/>
              <w:bottom w:val="single" w:color="000000" w:sz="12" w:space="0"/>
              <w:right w:val="single" w:color="000000" w:sz="8" w:space="0"/>
            </w:tcBorders>
            <w:shd w:val="clear" w:color="auto" w:fill="auto"/>
            <w:noWrap/>
            <w:tcMar>
              <w:top w:w="15" w:type="dxa"/>
              <w:left w:w="15" w:type="dxa"/>
              <w:right w:w="15" w:type="dxa"/>
            </w:tcMar>
            <w:vAlign w:val="bottom"/>
          </w:tcPr>
          <w:p>
            <w:pPr>
              <w:widowControl/>
              <w:spacing w:line="440" w:lineRule="exact"/>
              <w:ind w:left="210" w:leftChars="100"/>
              <w:jc w:val="left"/>
              <w:textAlignment w:val="bottom"/>
              <w:rPr>
                <w:rFonts w:ascii="仿宋_GB2312" w:eastAsia="仿宋_GB2312" w:cs="Calibri"/>
                <w:color w:val="000000"/>
                <w:szCs w:val="21"/>
              </w:rPr>
            </w:pPr>
            <w:r>
              <w:rPr>
                <w:rFonts w:hint="eastAsia" w:ascii="仿宋_GB2312" w:eastAsia="仿宋_GB2312" w:cs="Calibri"/>
                <w:color w:val="000000"/>
                <w:kern w:val="0"/>
                <w:szCs w:val="21"/>
                <w:lang w:bidi="ar"/>
              </w:rPr>
              <w:t>发电机组（发电设备）</w:t>
            </w:r>
          </w:p>
        </w:tc>
        <w:tc>
          <w:tcPr>
            <w:tcW w:w="1015" w:type="dxa"/>
            <w:tcBorders>
              <w:top w:val="nil"/>
              <w:left w:val="nil"/>
              <w:bottom w:val="single" w:color="000000" w:sz="12" w:space="0"/>
              <w:right w:val="single" w:color="000000" w:sz="8" w:space="0"/>
            </w:tcBorders>
            <w:shd w:val="clear" w:color="auto" w:fill="auto"/>
            <w:noWrap/>
            <w:tcMar>
              <w:top w:w="15" w:type="dxa"/>
              <w:left w:w="15" w:type="dxa"/>
              <w:right w:w="15" w:type="dxa"/>
            </w:tcMar>
            <w:vAlign w:val="bottom"/>
          </w:tcPr>
          <w:p>
            <w:pPr>
              <w:widowControl/>
              <w:spacing w:line="440" w:lineRule="exact"/>
              <w:ind w:left="210" w:leftChars="100"/>
              <w:jc w:val="left"/>
              <w:textAlignment w:val="bottom"/>
              <w:rPr>
                <w:rFonts w:ascii="仿宋_GB2312" w:eastAsia="仿宋_GB2312" w:cs="Calibri"/>
                <w:color w:val="000000"/>
                <w:szCs w:val="21"/>
              </w:rPr>
            </w:pPr>
            <w:r>
              <w:rPr>
                <w:rFonts w:hint="eastAsia" w:ascii="仿宋_GB2312" w:eastAsia="仿宋_GB2312" w:cs="Calibri"/>
                <w:color w:val="000000"/>
                <w:kern w:val="0"/>
                <w:szCs w:val="21"/>
                <w:lang w:bidi="ar"/>
              </w:rPr>
              <w:t>万千瓦</w:t>
            </w:r>
          </w:p>
        </w:tc>
        <w:tc>
          <w:tcPr>
            <w:tcW w:w="2756" w:type="dxa"/>
            <w:tcBorders>
              <w:top w:val="nil"/>
              <w:left w:val="nil"/>
              <w:bottom w:val="single" w:color="000000" w:sz="12" w:space="0"/>
              <w:right w:val="nil"/>
            </w:tcBorders>
            <w:shd w:val="clear" w:color="auto" w:fill="auto"/>
            <w:noWrap/>
            <w:tcMar>
              <w:top w:w="15" w:type="dxa"/>
              <w:left w:w="15" w:type="dxa"/>
              <w:right w:w="15" w:type="dxa"/>
            </w:tcMar>
            <w:vAlign w:val="center"/>
          </w:tcPr>
          <w:p>
            <w:pPr>
              <w:widowControl/>
              <w:ind w:right="1155" w:rightChars="550"/>
              <w:jc w:val="right"/>
              <w:textAlignment w:val="center"/>
              <w:rPr>
                <w:rFonts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33.00</w:t>
            </w:r>
          </w:p>
        </w:tc>
      </w:tr>
    </w:tbl>
    <w:p>
      <w:pPr>
        <w:widowControl/>
        <w:spacing w:line="600" w:lineRule="exact"/>
        <w:jc w:val="left"/>
        <w:rPr>
          <w:rFonts w:ascii="Times New Roman" w:hAnsi="Times New Roman" w:eastAsia="黑体"/>
          <w:kern w:val="0"/>
          <w:sz w:val="32"/>
          <w:szCs w:val="32"/>
        </w:rPr>
      </w:pPr>
      <w:r>
        <w:rPr>
          <w:rFonts w:hint="eastAsia"/>
        </w:rPr>
        <w:tab/>
      </w:r>
      <w:r>
        <w:rPr>
          <w:rFonts w:hint="eastAsia"/>
        </w:rPr>
        <w:t xml:space="preserve">  </w:t>
      </w:r>
      <w:r>
        <w:rPr>
          <w:rFonts w:ascii="Times New Roman" w:hAnsi="Times New Roman" w:eastAsia="黑体"/>
          <w:kern w:val="0"/>
          <w:sz w:val="32"/>
          <w:szCs w:val="32"/>
        </w:rPr>
        <w:t>二、建筑业</w:t>
      </w:r>
    </w:p>
    <w:p>
      <w:pPr>
        <w:widowControl/>
        <w:spacing w:line="60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（一）企业法人单位数和从业人员</w:t>
      </w:r>
      <w:r>
        <w:rPr>
          <w:rFonts w:ascii="Times New Roman" w:hAnsi="Times New Roman" w:eastAsia="楷体_GB2312"/>
          <w:sz w:val="32"/>
          <w:szCs w:val="32"/>
        </w:rPr>
        <w:t>。</w:t>
      </w:r>
    </w:p>
    <w:p>
      <w:pPr>
        <w:adjustRightInd w:val="0"/>
        <w:spacing w:line="540" w:lineRule="exact"/>
        <w:ind w:firstLine="640" w:firstLineChars="200"/>
        <w:rPr>
          <w:rFonts w:ascii="仿宋_GB2312" w:eastAsia="仿宋_GB2312"/>
          <w:kern w:val="0"/>
          <w:sz w:val="32"/>
          <w:szCs w:val="32"/>
        </w:rPr>
      </w:pPr>
      <w:r>
        <w:rPr>
          <w:rFonts w:ascii="仿宋_GB2312" w:eastAsia="仿宋_GB2312"/>
          <w:kern w:val="0"/>
          <w:sz w:val="32"/>
          <w:szCs w:val="32"/>
        </w:rPr>
        <w:t>2018年末，全</w:t>
      </w:r>
      <w:r>
        <w:rPr>
          <w:rFonts w:hint="eastAsia" w:ascii="仿宋_GB2312" w:eastAsia="仿宋_GB2312"/>
          <w:kern w:val="0"/>
          <w:sz w:val="32"/>
          <w:szCs w:val="32"/>
        </w:rPr>
        <w:t>市</w:t>
      </w:r>
      <w:r>
        <w:rPr>
          <w:rFonts w:ascii="仿宋_GB2312" w:eastAsia="仿宋_GB2312"/>
          <w:kern w:val="0"/>
          <w:sz w:val="32"/>
          <w:szCs w:val="32"/>
        </w:rPr>
        <w:t>共有建筑业企业法人单位1036个，从业人员93136人，分别比2013年末增长211.1%和62.2%。</w:t>
      </w:r>
    </w:p>
    <w:p>
      <w:pPr>
        <w:adjustRightInd w:val="0"/>
        <w:spacing w:line="540" w:lineRule="exact"/>
        <w:ind w:firstLine="640" w:firstLineChars="200"/>
        <w:rPr>
          <w:rFonts w:ascii="仿宋_GB2312" w:eastAsia="仿宋_GB2312"/>
          <w:kern w:val="0"/>
          <w:sz w:val="32"/>
          <w:szCs w:val="32"/>
        </w:rPr>
      </w:pPr>
      <w:r>
        <w:rPr>
          <w:rFonts w:ascii="仿宋_GB2312" w:eastAsia="仿宋_GB2312"/>
          <w:kern w:val="0"/>
          <w:sz w:val="32"/>
          <w:szCs w:val="32"/>
        </w:rPr>
        <w:t>建筑业企业法人单位中，内资企业1036个，占100.0%。其中，国有企业占内资企业的0.3%，集体企业占0.3%，私营企业占83.5%。</w:t>
      </w:r>
    </w:p>
    <w:p>
      <w:pPr>
        <w:adjustRightInd w:val="0"/>
        <w:spacing w:line="540" w:lineRule="exact"/>
        <w:ind w:firstLine="640" w:firstLineChars="200"/>
        <w:rPr>
          <w:rFonts w:ascii="仿宋_GB2312" w:eastAsia="仿宋_GB2312"/>
          <w:kern w:val="0"/>
          <w:sz w:val="32"/>
          <w:szCs w:val="32"/>
        </w:rPr>
      </w:pPr>
      <w:r>
        <w:rPr>
          <w:rFonts w:ascii="仿宋_GB2312" w:eastAsia="仿宋_GB2312"/>
          <w:kern w:val="0"/>
          <w:sz w:val="32"/>
          <w:szCs w:val="32"/>
        </w:rPr>
        <w:t>建筑业企业法人单位从业人员中，内资企业占100.0%。其中，国有企业占内资企业的0.7%，私营企业占</w:t>
      </w:r>
      <w:r>
        <w:rPr>
          <w:rFonts w:hint="eastAsia" w:ascii="仿宋_GB2312" w:eastAsia="仿宋_GB2312"/>
          <w:kern w:val="0"/>
          <w:sz w:val="32"/>
          <w:szCs w:val="32"/>
        </w:rPr>
        <w:t>50.0</w:t>
      </w:r>
      <w:r>
        <w:rPr>
          <w:rFonts w:ascii="仿宋_GB2312" w:eastAsia="仿宋_GB2312"/>
          <w:kern w:val="0"/>
          <w:sz w:val="32"/>
          <w:szCs w:val="32"/>
        </w:rPr>
        <w:t>%（详见表3-5）。</w:t>
      </w:r>
    </w:p>
    <w:p>
      <w:pPr>
        <w:adjustRightInd w:val="0"/>
        <w:spacing w:line="540" w:lineRule="exact"/>
        <w:ind w:firstLine="640" w:firstLineChars="200"/>
        <w:rPr>
          <w:rFonts w:ascii="仿宋_GB2312" w:eastAsia="仿宋_GB2312"/>
          <w:kern w:val="0"/>
          <w:sz w:val="32"/>
          <w:szCs w:val="32"/>
        </w:rPr>
      </w:pPr>
      <w:r>
        <w:rPr>
          <w:rFonts w:ascii="仿宋_GB2312" w:eastAsia="仿宋_GB2312"/>
          <w:kern w:val="0"/>
          <w:sz w:val="32"/>
          <w:szCs w:val="32"/>
        </w:rPr>
        <w:t>建筑业企业法人单位中，房屋建筑业占23.8%，土木工程建筑业占12.1%，建筑安装业占14.3%，建筑装饰、装修和其他建筑业占49.8%。</w:t>
      </w:r>
    </w:p>
    <w:p>
      <w:pPr>
        <w:adjustRightInd w:val="0"/>
        <w:spacing w:line="540" w:lineRule="exact"/>
        <w:ind w:firstLine="640" w:firstLineChars="200"/>
        <w:rPr>
          <w:rFonts w:ascii="仿宋_GB2312" w:eastAsia="仿宋_GB2312"/>
          <w:kern w:val="0"/>
          <w:sz w:val="32"/>
          <w:szCs w:val="32"/>
        </w:rPr>
      </w:pPr>
      <w:r>
        <w:rPr>
          <w:rFonts w:ascii="仿宋_GB2312" w:eastAsia="仿宋_GB2312"/>
          <w:kern w:val="0"/>
          <w:sz w:val="32"/>
          <w:szCs w:val="32"/>
        </w:rPr>
        <w:t>建筑业企业法人单位从业人员中，房屋建筑业占78.3%，土木工程建筑业占9.6%，建筑安装业占4.6%，建筑装饰、装修和其他建筑业占7.5%（详见表3-6）。</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362"/>
        <w:gridCol w:w="2510"/>
        <w:gridCol w:w="24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4" w:hRule="exact"/>
          <w:jc w:val="center"/>
        </w:trPr>
        <w:tc>
          <w:tcPr>
            <w:tcW w:w="8306" w:type="dxa"/>
            <w:gridSpan w:val="3"/>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黑体" w:hAnsi="黑体" w:eastAsia="黑体"/>
                <w:bCs/>
                <w:kern w:val="0"/>
                <w:sz w:val="24"/>
              </w:rPr>
            </w:pPr>
            <w:r>
              <w:rPr>
                <w:rFonts w:ascii="黑体" w:hAnsi="黑体" w:eastAsia="黑体"/>
                <w:bCs/>
                <w:kern w:val="0"/>
                <w:sz w:val="24"/>
              </w:rPr>
              <w:t>表3-5　按登记注册类型分组的建筑业企业法人单位和从业人员</w:t>
            </w:r>
          </w:p>
          <w:p>
            <w:pPr>
              <w:widowControl/>
              <w:spacing w:line="320" w:lineRule="atLeast"/>
              <w:ind w:left="57" w:right="57"/>
              <w:jc w:val="center"/>
              <w:rPr>
                <w:rFonts w:ascii="黑体" w:hAnsi="黑体" w:eastAsia="黑体"/>
                <w:bCs/>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00" w:hRule="exact"/>
          <w:jc w:val="center"/>
        </w:trPr>
        <w:tc>
          <w:tcPr>
            <w:tcW w:w="3362" w:type="dxa"/>
            <w:tcBorders>
              <w:top w:val="nil"/>
              <w:left w:val="nil"/>
              <w:bottom w:val="single" w:color="auto" w:sz="8" w:space="0"/>
              <w:right w:val="single" w:color="auto" w:sz="8" w:space="0"/>
            </w:tcBorders>
            <w:vAlign w:val="center"/>
          </w:tcPr>
          <w:p>
            <w:pPr>
              <w:widowControl/>
              <w:spacing w:line="240" w:lineRule="atLeast"/>
              <w:ind w:left="57" w:right="57"/>
              <w:jc w:val="center"/>
              <w:rPr>
                <w:rFonts w:ascii="黑体" w:hAnsi="黑体" w:eastAsia="黑体"/>
                <w:kern w:val="0"/>
                <w:sz w:val="18"/>
                <w:szCs w:val="18"/>
              </w:rPr>
            </w:pPr>
            <w:r>
              <w:rPr>
                <w:rFonts w:ascii="黑体" w:hAnsi="黑体" w:eastAsia="黑体"/>
                <w:kern w:val="0"/>
              </w:rPr>
              <w:t>　</w:t>
            </w:r>
          </w:p>
        </w:tc>
        <w:tc>
          <w:tcPr>
            <w:tcW w:w="2510" w:type="dxa"/>
            <w:tcBorders>
              <w:top w:val="nil"/>
              <w:left w:val="nil"/>
              <w:bottom w:val="single" w:color="auto" w:sz="8" w:space="0"/>
              <w:right w:val="single" w:color="auto" w:sz="8" w:space="0"/>
            </w:tcBorders>
            <w:vAlign w:val="center"/>
          </w:tcPr>
          <w:p>
            <w:pPr>
              <w:widowControl/>
              <w:spacing w:line="240" w:lineRule="atLeast"/>
              <w:ind w:left="57" w:right="57"/>
              <w:jc w:val="center"/>
              <w:rPr>
                <w:rFonts w:ascii="黑体" w:hAnsi="黑体" w:eastAsia="黑体"/>
                <w:kern w:val="0"/>
                <w:sz w:val="18"/>
                <w:szCs w:val="18"/>
              </w:rPr>
            </w:pPr>
            <w:r>
              <w:rPr>
                <w:rFonts w:ascii="黑体" w:hAnsi="黑体" w:eastAsia="黑体"/>
                <w:kern w:val="0"/>
              </w:rPr>
              <w:t>企业法人单位（个）</w:t>
            </w:r>
          </w:p>
        </w:tc>
        <w:tc>
          <w:tcPr>
            <w:tcW w:w="2434" w:type="dxa"/>
            <w:tcBorders>
              <w:top w:val="nil"/>
              <w:left w:val="nil"/>
              <w:bottom w:val="single" w:color="auto" w:sz="8" w:space="0"/>
              <w:right w:val="nil"/>
            </w:tcBorders>
            <w:vAlign w:val="center"/>
          </w:tcPr>
          <w:p>
            <w:pPr>
              <w:widowControl/>
              <w:spacing w:line="240" w:lineRule="atLeast"/>
              <w:ind w:left="57" w:right="57"/>
              <w:jc w:val="center"/>
              <w:rPr>
                <w:rFonts w:ascii="黑体" w:hAnsi="黑体" w:eastAsia="黑体"/>
                <w:kern w:val="0"/>
                <w:sz w:val="18"/>
                <w:szCs w:val="18"/>
              </w:rPr>
            </w:pPr>
            <w:r>
              <w:rPr>
                <w:rFonts w:ascii="黑体" w:hAnsi="黑体" w:eastAsia="黑体"/>
                <w:kern w:val="0"/>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4" w:hRule="exact"/>
          <w:jc w:val="center"/>
        </w:trPr>
        <w:tc>
          <w:tcPr>
            <w:tcW w:w="3362" w:type="dxa"/>
            <w:tcBorders>
              <w:top w:val="nil"/>
              <w:left w:val="nil"/>
              <w:bottom w:val="nil"/>
              <w:right w:val="single" w:color="auto" w:sz="8" w:space="0"/>
            </w:tcBorders>
            <w:vAlign w:val="center"/>
          </w:tcPr>
          <w:p>
            <w:pPr>
              <w:widowControl/>
              <w:spacing w:line="240" w:lineRule="atLeast"/>
              <w:ind w:left="57" w:right="57"/>
              <w:rPr>
                <w:rFonts w:ascii="仿宋_GB2312" w:hAnsi="Times New Roman" w:eastAsia="仿宋_GB2312"/>
                <w:kern w:val="0"/>
                <w:sz w:val="18"/>
                <w:szCs w:val="18"/>
              </w:rPr>
            </w:pPr>
            <w:r>
              <w:rPr>
                <w:rFonts w:hint="eastAsia" w:ascii="仿宋_GB2312" w:hAnsi="Times New Roman" w:eastAsia="仿宋_GB2312"/>
                <w:b/>
                <w:bCs/>
                <w:kern w:val="0"/>
              </w:rPr>
              <w:t>　合　　计</w:t>
            </w:r>
          </w:p>
        </w:tc>
        <w:tc>
          <w:tcPr>
            <w:tcW w:w="2510" w:type="dxa"/>
            <w:tcBorders>
              <w:top w:val="nil"/>
              <w:left w:val="nil"/>
              <w:bottom w:val="nil"/>
              <w:right w:val="single" w:color="auto" w:sz="8" w:space="0"/>
            </w:tcBorders>
            <w:vAlign w:val="center"/>
          </w:tcPr>
          <w:p>
            <w:pPr>
              <w:widowControl/>
              <w:spacing w:line="240" w:lineRule="atLeast"/>
              <w:ind w:left="57" w:right="851"/>
              <w:jc w:val="right"/>
              <w:rPr>
                <w:rFonts w:ascii="仿宋_GB2312" w:hAnsi="Times New Roman" w:eastAsia="仿宋_GB2312"/>
                <w:kern w:val="0"/>
                <w:sz w:val="18"/>
                <w:szCs w:val="18"/>
              </w:rPr>
            </w:pPr>
            <w:r>
              <w:rPr>
                <w:rFonts w:hint="eastAsia" w:ascii="仿宋_GB2312" w:hAnsi="Times New Roman" w:eastAsia="仿宋_GB2312"/>
                <w:b/>
                <w:bCs/>
                <w:kern w:val="0"/>
              </w:rPr>
              <w:t>　1036</w:t>
            </w:r>
          </w:p>
        </w:tc>
        <w:tc>
          <w:tcPr>
            <w:tcW w:w="2434" w:type="dxa"/>
            <w:tcBorders>
              <w:top w:val="nil"/>
              <w:left w:val="nil"/>
              <w:bottom w:val="nil"/>
              <w:right w:val="nil"/>
            </w:tcBorders>
            <w:vAlign w:val="center"/>
          </w:tcPr>
          <w:p>
            <w:pPr>
              <w:widowControl/>
              <w:spacing w:line="240" w:lineRule="atLeast"/>
              <w:ind w:left="57" w:right="851"/>
              <w:jc w:val="right"/>
              <w:rPr>
                <w:rFonts w:ascii="仿宋_GB2312" w:hAnsi="Times New Roman" w:eastAsia="仿宋_GB2312"/>
                <w:kern w:val="0"/>
                <w:sz w:val="18"/>
                <w:szCs w:val="18"/>
              </w:rPr>
            </w:pPr>
            <w:r>
              <w:rPr>
                <w:rFonts w:hint="eastAsia" w:ascii="仿宋_GB2312" w:hAnsi="Times New Roman" w:eastAsia="仿宋_GB2312"/>
                <w:b/>
                <w:bCs/>
                <w:kern w:val="0"/>
              </w:rPr>
              <w:t>　93136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4" w:hRule="exact"/>
          <w:jc w:val="center"/>
        </w:trPr>
        <w:tc>
          <w:tcPr>
            <w:tcW w:w="3362" w:type="dxa"/>
            <w:tcBorders>
              <w:top w:val="nil"/>
              <w:left w:val="nil"/>
              <w:bottom w:val="nil"/>
              <w:right w:val="single" w:color="auto" w:sz="8" w:space="0"/>
            </w:tcBorders>
            <w:vAlign w:val="center"/>
          </w:tcPr>
          <w:p>
            <w:pPr>
              <w:widowControl/>
              <w:spacing w:line="240" w:lineRule="atLeast"/>
              <w:ind w:left="57" w:right="57"/>
              <w:rPr>
                <w:rFonts w:ascii="仿宋_GB2312" w:hAnsi="Times New Roman" w:eastAsia="仿宋_GB2312"/>
                <w:b/>
                <w:kern w:val="0"/>
                <w:sz w:val="18"/>
                <w:szCs w:val="18"/>
              </w:rPr>
            </w:pPr>
            <w:r>
              <w:rPr>
                <w:rFonts w:hint="eastAsia" w:ascii="仿宋_GB2312" w:hAnsi="Times New Roman" w:eastAsia="仿宋_GB2312"/>
                <w:b/>
                <w:kern w:val="0"/>
                <w:szCs w:val="21"/>
              </w:rPr>
              <w:t>　内资企业</w:t>
            </w:r>
          </w:p>
        </w:tc>
        <w:tc>
          <w:tcPr>
            <w:tcW w:w="2510" w:type="dxa"/>
            <w:tcBorders>
              <w:top w:val="nil"/>
              <w:left w:val="nil"/>
              <w:bottom w:val="nil"/>
              <w:right w:val="single" w:color="auto" w:sz="8" w:space="0"/>
            </w:tcBorders>
            <w:vAlign w:val="center"/>
          </w:tcPr>
          <w:p>
            <w:pPr>
              <w:widowControl/>
              <w:spacing w:line="240" w:lineRule="atLeast"/>
              <w:ind w:left="57" w:right="851"/>
              <w:jc w:val="right"/>
              <w:rPr>
                <w:rFonts w:ascii="仿宋_GB2312" w:hAnsi="Times New Roman" w:eastAsia="仿宋_GB2312"/>
                <w:b/>
                <w:kern w:val="0"/>
                <w:sz w:val="18"/>
                <w:szCs w:val="18"/>
              </w:rPr>
            </w:pPr>
            <w:r>
              <w:rPr>
                <w:rFonts w:hint="eastAsia" w:ascii="仿宋_GB2312" w:hAnsi="Times New Roman" w:eastAsia="仿宋_GB2312"/>
                <w:b/>
                <w:kern w:val="0"/>
                <w:szCs w:val="21"/>
              </w:rPr>
              <w:t>　</w:t>
            </w:r>
            <w:r>
              <w:rPr>
                <w:rFonts w:hint="eastAsia" w:ascii="仿宋_GB2312" w:hAnsi="Times New Roman" w:eastAsia="仿宋_GB2312"/>
                <w:b/>
                <w:color w:val="000000"/>
                <w:kern w:val="0"/>
                <w:szCs w:val="21"/>
                <w:lang w:bidi="ar"/>
              </w:rPr>
              <w:t>1036</w:t>
            </w:r>
          </w:p>
        </w:tc>
        <w:tc>
          <w:tcPr>
            <w:tcW w:w="2434" w:type="dxa"/>
            <w:tcBorders>
              <w:top w:val="nil"/>
              <w:left w:val="nil"/>
              <w:bottom w:val="nil"/>
              <w:right w:val="nil"/>
            </w:tcBorders>
            <w:vAlign w:val="center"/>
          </w:tcPr>
          <w:p>
            <w:pPr>
              <w:widowControl/>
              <w:spacing w:line="240" w:lineRule="atLeast"/>
              <w:ind w:left="57" w:right="851"/>
              <w:jc w:val="right"/>
              <w:rPr>
                <w:rFonts w:ascii="仿宋_GB2312" w:hAnsi="Times New Roman" w:eastAsia="仿宋_GB2312"/>
                <w:b/>
                <w:kern w:val="0"/>
                <w:sz w:val="18"/>
                <w:szCs w:val="18"/>
              </w:rPr>
            </w:pPr>
            <w:r>
              <w:rPr>
                <w:rFonts w:hint="eastAsia" w:ascii="仿宋_GB2312" w:hAnsi="Times New Roman" w:eastAsia="仿宋_GB2312"/>
                <w:b/>
                <w:kern w:val="0"/>
                <w:szCs w:val="21"/>
              </w:rPr>
              <w:t>　93136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4" w:hRule="exact"/>
          <w:jc w:val="center"/>
        </w:trPr>
        <w:tc>
          <w:tcPr>
            <w:tcW w:w="3362" w:type="dxa"/>
            <w:tcBorders>
              <w:top w:val="nil"/>
              <w:left w:val="nil"/>
              <w:bottom w:val="nil"/>
              <w:right w:val="single" w:color="auto" w:sz="8" w:space="0"/>
            </w:tcBorders>
            <w:vAlign w:val="center"/>
          </w:tcPr>
          <w:p>
            <w:pPr>
              <w:widowControl/>
              <w:spacing w:line="240" w:lineRule="atLeast"/>
              <w:ind w:left="57" w:right="57"/>
              <w:rPr>
                <w:rFonts w:ascii="仿宋_GB2312" w:hAnsi="Times New Roman" w:eastAsia="仿宋_GB2312"/>
                <w:kern w:val="0"/>
                <w:sz w:val="18"/>
                <w:szCs w:val="18"/>
              </w:rPr>
            </w:pPr>
            <w:r>
              <w:rPr>
                <w:rFonts w:hint="eastAsia" w:ascii="仿宋_GB2312" w:hAnsi="Times New Roman" w:eastAsia="仿宋_GB2312"/>
                <w:kern w:val="0"/>
                <w:szCs w:val="21"/>
              </w:rPr>
              <w:t>　　　国有企业</w:t>
            </w:r>
          </w:p>
        </w:tc>
        <w:tc>
          <w:tcPr>
            <w:tcW w:w="2510" w:type="dxa"/>
            <w:tcBorders>
              <w:top w:val="nil"/>
              <w:left w:val="nil"/>
              <w:bottom w:val="nil"/>
              <w:right w:val="single" w:color="auto" w:sz="8" w:space="0"/>
            </w:tcBorders>
            <w:vAlign w:val="center"/>
          </w:tcPr>
          <w:p>
            <w:pPr>
              <w:widowControl/>
              <w:spacing w:line="240" w:lineRule="atLeast"/>
              <w:ind w:left="57" w:right="851"/>
              <w:jc w:val="right"/>
              <w:rPr>
                <w:rFonts w:ascii="仿宋_GB2312" w:hAnsi="Times New Roman" w:eastAsia="仿宋_GB2312"/>
                <w:kern w:val="0"/>
                <w:sz w:val="18"/>
                <w:szCs w:val="18"/>
              </w:rPr>
            </w:pPr>
            <w:r>
              <w:rPr>
                <w:rFonts w:hint="eastAsia" w:ascii="仿宋_GB2312" w:hAnsi="Times New Roman" w:eastAsia="仿宋_GB2312"/>
                <w:kern w:val="0"/>
                <w:szCs w:val="21"/>
              </w:rPr>
              <w:t>　　　　3</w:t>
            </w:r>
          </w:p>
        </w:tc>
        <w:tc>
          <w:tcPr>
            <w:tcW w:w="2434" w:type="dxa"/>
            <w:tcBorders>
              <w:top w:val="nil"/>
              <w:left w:val="nil"/>
              <w:bottom w:val="nil"/>
              <w:right w:val="nil"/>
            </w:tcBorders>
            <w:vAlign w:val="center"/>
          </w:tcPr>
          <w:p>
            <w:pPr>
              <w:widowControl/>
              <w:spacing w:line="240" w:lineRule="atLeast"/>
              <w:ind w:left="57" w:right="851"/>
              <w:jc w:val="right"/>
              <w:rPr>
                <w:rFonts w:ascii="仿宋_GB2312" w:hAnsi="Times New Roman" w:eastAsia="仿宋_GB2312"/>
                <w:kern w:val="0"/>
                <w:sz w:val="18"/>
                <w:szCs w:val="18"/>
              </w:rPr>
            </w:pPr>
            <w:r>
              <w:rPr>
                <w:rFonts w:hint="eastAsia" w:ascii="仿宋_GB2312" w:hAnsi="Times New Roman" w:eastAsia="仿宋_GB2312"/>
                <w:kern w:val="0"/>
                <w:szCs w:val="21"/>
              </w:rPr>
              <w:t>　　　　612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4" w:hRule="exact"/>
          <w:jc w:val="center"/>
        </w:trPr>
        <w:tc>
          <w:tcPr>
            <w:tcW w:w="3362" w:type="dxa"/>
            <w:tcBorders>
              <w:top w:val="nil"/>
              <w:left w:val="nil"/>
              <w:bottom w:val="nil"/>
              <w:right w:val="single" w:color="auto" w:sz="8" w:space="0"/>
            </w:tcBorders>
            <w:vAlign w:val="center"/>
          </w:tcPr>
          <w:p>
            <w:pPr>
              <w:widowControl/>
              <w:spacing w:line="240" w:lineRule="atLeast"/>
              <w:ind w:left="57" w:right="57"/>
              <w:rPr>
                <w:rFonts w:ascii="仿宋_GB2312" w:hAnsi="Times New Roman" w:eastAsia="仿宋_GB2312"/>
                <w:kern w:val="0"/>
                <w:sz w:val="18"/>
                <w:szCs w:val="18"/>
              </w:rPr>
            </w:pPr>
            <w:r>
              <w:rPr>
                <w:rFonts w:hint="eastAsia" w:ascii="仿宋_GB2312" w:hAnsi="Times New Roman" w:eastAsia="仿宋_GB2312"/>
                <w:kern w:val="0"/>
                <w:szCs w:val="21"/>
              </w:rPr>
              <w:t>　　　集体企业</w:t>
            </w:r>
          </w:p>
        </w:tc>
        <w:tc>
          <w:tcPr>
            <w:tcW w:w="2510" w:type="dxa"/>
            <w:tcBorders>
              <w:top w:val="nil"/>
              <w:left w:val="nil"/>
              <w:bottom w:val="nil"/>
              <w:right w:val="single" w:color="auto" w:sz="8" w:space="0"/>
            </w:tcBorders>
            <w:vAlign w:val="center"/>
          </w:tcPr>
          <w:p>
            <w:pPr>
              <w:widowControl/>
              <w:spacing w:line="240" w:lineRule="atLeast"/>
              <w:ind w:left="57" w:right="851"/>
              <w:jc w:val="right"/>
              <w:rPr>
                <w:rFonts w:ascii="仿宋_GB2312" w:hAnsi="Times New Roman" w:eastAsia="仿宋_GB2312"/>
                <w:kern w:val="0"/>
                <w:sz w:val="18"/>
                <w:szCs w:val="18"/>
              </w:rPr>
            </w:pPr>
            <w:r>
              <w:rPr>
                <w:rFonts w:hint="eastAsia" w:ascii="仿宋_GB2312" w:hAnsi="Times New Roman" w:eastAsia="仿宋_GB2312"/>
                <w:kern w:val="0"/>
                <w:szCs w:val="21"/>
              </w:rPr>
              <w:t>　　　　3</w:t>
            </w:r>
          </w:p>
        </w:tc>
        <w:tc>
          <w:tcPr>
            <w:tcW w:w="2434" w:type="dxa"/>
            <w:tcBorders>
              <w:top w:val="nil"/>
              <w:left w:val="nil"/>
              <w:bottom w:val="nil"/>
              <w:right w:val="nil"/>
            </w:tcBorders>
            <w:vAlign w:val="center"/>
          </w:tcPr>
          <w:p>
            <w:pPr>
              <w:widowControl/>
              <w:spacing w:line="240" w:lineRule="atLeast"/>
              <w:ind w:left="57" w:right="851"/>
              <w:jc w:val="right"/>
              <w:rPr>
                <w:rFonts w:ascii="仿宋_GB2312" w:hAnsi="Times New Roman" w:eastAsia="仿宋_GB2312"/>
                <w:kern w:val="0"/>
                <w:sz w:val="18"/>
                <w:szCs w:val="18"/>
              </w:rPr>
            </w:pPr>
            <w:r>
              <w:rPr>
                <w:rFonts w:hint="eastAsia" w:ascii="仿宋_GB2312" w:hAnsi="Times New Roman" w:eastAsia="仿宋_GB2312"/>
                <w:kern w:val="0"/>
                <w:szCs w:val="21"/>
              </w:rPr>
              <w:t>　　　　27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4" w:hRule="exact"/>
          <w:jc w:val="center"/>
        </w:trPr>
        <w:tc>
          <w:tcPr>
            <w:tcW w:w="3362" w:type="dxa"/>
            <w:tcBorders>
              <w:top w:val="nil"/>
              <w:left w:val="nil"/>
              <w:bottom w:val="nil"/>
              <w:right w:val="single" w:color="auto" w:sz="8" w:space="0"/>
            </w:tcBorders>
            <w:vAlign w:val="center"/>
          </w:tcPr>
          <w:p>
            <w:pPr>
              <w:widowControl/>
              <w:spacing w:line="240" w:lineRule="atLeast"/>
              <w:ind w:left="57" w:right="57"/>
              <w:rPr>
                <w:rFonts w:ascii="仿宋_GB2312" w:hAnsi="Times New Roman" w:eastAsia="仿宋_GB2312"/>
                <w:kern w:val="0"/>
                <w:sz w:val="18"/>
                <w:szCs w:val="18"/>
              </w:rPr>
            </w:pPr>
            <w:r>
              <w:rPr>
                <w:rFonts w:hint="eastAsia" w:ascii="仿宋_GB2312" w:hAnsi="Times New Roman" w:eastAsia="仿宋_GB2312"/>
                <w:kern w:val="0"/>
                <w:szCs w:val="21"/>
              </w:rPr>
              <w:t>　　　有限责任公司</w:t>
            </w:r>
          </w:p>
        </w:tc>
        <w:tc>
          <w:tcPr>
            <w:tcW w:w="2510" w:type="dxa"/>
            <w:tcBorders>
              <w:top w:val="nil"/>
              <w:left w:val="nil"/>
              <w:bottom w:val="nil"/>
              <w:right w:val="single" w:color="auto" w:sz="8" w:space="0"/>
            </w:tcBorders>
            <w:vAlign w:val="center"/>
          </w:tcPr>
          <w:p>
            <w:pPr>
              <w:widowControl/>
              <w:spacing w:line="240" w:lineRule="atLeast"/>
              <w:ind w:left="57" w:right="851"/>
              <w:jc w:val="right"/>
              <w:rPr>
                <w:rFonts w:ascii="仿宋_GB2312" w:hAnsi="Times New Roman" w:eastAsia="仿宋_GB2312"/>
                <w:kern w:val="0"/>
                <w:sz w:val="18"/>
                <w:szCs w:val="18"/>
              </w:rPr>
            </w:pPr>
            <w:r>
              <w:rPr>
                <w:rFonts w:hint="eastAsia" w:ascii="仿宋_GB2312" w:hAnsi="Times New Roman" w:eastAsia="仿宋_GB2312"/>
                <w:kern w:val="0"/>
                <w:szCs w:val="21"/>
              </w:rPr>
              <w:t>　　　　151</w:t>
            </w:r>
          </w:p>
        </w:tc>
        <w:tc>
          <w:tcPr>
            <w:tcW w:w="2434" w:type="dxa"/>
            <w:tcBorders>
              <w:top w:val="nil"/>
              <w:left w:val="nil"/>
              <w:bottom w:val="nil"/>
              <w:right w:val="nil"/>
            </w:tcBorders>
            <w:vAlign w:val="center"/>
          </w:tcPr>
          <w:p>
            <w:pPr>
              <w:widowControl/>
              <w:spacing w:line="240" w:lineRule="atLeast"/>
              <w:ind w:left="57" w:right="851"/>
              <w:jc w:val="right"/>
              <w:rPr>
                <w:rFonts w:ascii="仿宋_GB2312" w:hAnsi="Times New Roman" w:eastAsia="仿宋_GB2312"/>
                <w:kern w:val="0"/>
                <w:sz w:val="18"/>
                <w:szCs w:val="18"/>
              </w:rPr>
            </w:pPr>
            <w:r>
              <w:rPr>
                <w:rFonts w:hint="eastAsia" w:ascii="仿宋_GB2312" w:hAnsi="Times New Roman" w:eastAsia="仿宋_GB2312"/>
                <w:kern w:val="0"/>
                <w:szCs w:val="21"/>
              </w:rPr>
              <w:t>　　　　38277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4" w:hRule="exact"/>
          <w:jc w:val="center"/>
        </w:trPr>
        <w:tc>
          <w:tcPr>
            <w:tcW w:w="3362" w:type="dxa"/>
            <w:tcBorders>
              <w:top w:val="nil"/>
              <w:left w:val="nil"/>
              <w:bottom w:val="nil"/>
              <w:right w:val="single" w:color="auto" w:sz="8" w:space="0"/>
            </w:tcBorders>
            <w:vAlign w:val="center"/>
          </w:tcPr>
          <w:p>
            <w:pPr>
              <w:widowControl/>
              <w:spacing w:line="240" w:lineRule="atLeast"/>
              <w:ind w:left="57" w:right="57"/>
              <w:rPr>
                <w:rFonts w:ascii="仿宋_GB2312" w:hAnsi="Times New Roman" w:eastAsia="仿宋_GB2312"/>
                <w:kern w:val="0"/>
                <w:sz w:val="18"/>
                <w:szCs w:val="18"/>
              </w:rPr>
            </w:pPr>
            <w:r>
              <w:rPr>
                <w:rFonts w:hint="eastAsia" w:ascii="仿宋_GB2312" w:hAnsi="Times New Roman" w:eastAsia="仿宋_GB2312"/>
                <w:kern w:val="0"/>
                <w:szCs w:val="21"/>
              </w:rPr>
              <w:t>　　　股份有限公司</w:t>
            </w:r>
          </w:p>
        </w:tc>
        <w:tc>
          <w:tcPr>
            <w:tcW w:w="2510" w:type="dxa"/>
            <w:tcBorders>
              <w:top w:val="nil"/>
              <w:left w:val="nil"/>
              <w:bottom w:val="nil"/>
              <w:right w:val="single" w:color="auto" w:sz="8" w:space="0"/>
            </w:tcBorders>
            <w:vAlign w:val="center"/>
          </w:tcPr>
          <w:p>
            <w:pPr>
              <w:widowControl/>
              <w:spacing w:line="240" w:lineRule="atLeast"/>
              <w:ind w:left="57" w:right="851"/>
              <w:jc w:val="right"/>
              <w:rPr>
                <w:rFonts w:ascii="仿宋_GB2312" w:hAnsi="Times New Roman" w:eastAsia="仿宋_GB2312"/>
                <w:kern w:val="0"/>
                <w:sz w:val="18"/>
                <w:szCs w:val="18"/>
              </w:rPr>
            </w:pPr>
            <w:r>
              <w:rPr>
                <w:rFonts w:hint="eastAsia" w:ascii="仿宋_GB2312" w:hAnsi="Times New Roman" w:eastAsia="仿宋_GB2312"/>
                <w:kern w:val="0"/>
                <w:szCs w:val="21"/>
              </w:rPr>
              <w:t>　　　　13</w:t>
            </w:r>
          </w:p>
        </w:tc>
        <w:tc>
          <w:tcPr>
            <w:tcW w:w="2434" w:type="dxa"/>
            <w:tcBorders>
              <w:top w:val="nil"/>
              <w:left w:val="nil"/>
              <w:bottom w:val="nil"/>
              <w:right w:val="nil"/>
            </w:tcBorders>
            <w:vAlign w:val="center"/>
          </w:tcPr>
          <w:p>
            <w:pPr>
              <w:widowControl/>
              <w:spacing w:line="240" w:lineRule="atLeast"/>
              <w:ind w:left="57" w:right="851"/>
              <w:jc w:val="right"/>
              <w:rPr>
                <w:rFonts w:ascii="仿宋_GB2312" w:hAnsi="Times New Roman" w:eastAsia="仿宋_GB2312"/>
                <w:kern w:val="0"/>
                <w:sz w:val="18"/>
                <w:szCs w:val="18"/>
              </w:rPr>
            </w:pPr>
            <w:r>
              <w:rPr>
                <w:rFonts w:hint="eastAsia" w:ascii="仿宋_GB2312" w:hAnsi="Times New Roman" w:eastAsia="仿宋_GB2312"/>
                <w:kern w:val="0"/>
                <w:szCs w:val="21"/>
              </w:rPr>
              <w:t>　　　　7666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4" w:hRule="exact"/>
          <w:jc w:val="center"/>
        </w:trPr>
        <w:tc>
          <w:tcPr>
            <w:tcW w:w="3362" w:type="dxa"/>
            <w:tcBorders>
              <w:top w:val="nil"/>
              <w:left w:val="nil"/>
              <w:bottom w:val="single" w:color="auto" w:sz="12" w:space="0"/>
              <w:right w:val="single" w:color="auto" w:sz="4" w:space="0"/>
            </w:tcBorders>
            <w:vAlign w:val="center"/>
          </w:tcPr>
          <w:p>
            <w:pPr>
              <w:widowControl/>
              <w:spacing w:line="240" w:lineRule="atLeast"/>
              <w:ind w:left="57" w:right="57"/>
              <w:rPr>
                <w:rFonts w:ascii="仿宋_GB2312" w:hAnsi="Times New Roman" w:eastAsia="仿宋_GB2312"/>
                <w:kern w:val="0"/>
                <w:sz w:val="18"/>
                <w:szCs w:val="18"/>
              </w:rPr>
            </w:pPr>
            <w:r>
              <w:rPr>
                <w:rFonts w:hint="eastAsia" w:ascii="仿宋_GB2312" w:hAnsi="Times New Roman" w:eastAsia="仿宋_GB2312"/>
                <w:kern w:val="0"/>
                <w:szCs w:val="21"/>
              </w:rPr>
              <w:t>　　　私营企业</w:t>
            </w:r>
          </w:p>
        </w:tc>
        <w:tc>
          <w:tcPr>
            <w:tcW w:w="2510" w:type="dxa"/>
            <w:tcBorders>
              <w:top w:val="nil"/>
              <w:left w:val="single" w:color="auto" w:sz="4" w:space="0"/>
              <w:bottom w:val="single" w:color="auto" w:sz="12" w:space="0"/>
              <w:right w:val="single" w:color="auto" w:sz="4" w:space="0"/>
            </w:tcBorders>
            <w:vAlign w:val="center"/>
          </w:tcPr>
          <w:p>
            <w:pPr>
              <w:widowControl/>
              <w:spacing w:line="240" w:lineRule="atLeast"/>
              <w:ind w:left="57" w:right="851"/>
              <w:jc w:val="right"/>
              <w:rPr>
                <w:rFonts w:ascii="仿宋_GB2312" w:hAnsi="Times New Roman" w:eastAsia="仿宋_GB2312"/>
                <w:kern w:val="0"/>
                <w:sz w:val="18"/>
                <w:szCs w:val="18"/>
              </w:rPr>
            </w:pPr>
            <w:r>
              <w:rPr>
                <w:rFonts w:hint="eastAsia" w:ascii="仿宋_GB2312" w:hAnsi="Times New Roman" w:eastAsia="仿宋_GB2312"/>
                <w:kern w:val="0"/>
                <w:szCs w:val="21"/>
              </w:rPr>
              <w:t>　　　　865</w:t>
            </w:r>
          </w:p>
        </w:tc>
        <w:tc>
          <w:tcPr>
            <w:tcW w:w="2434" w:type="dxa"/>
            <w:tcBorders>
              <w:top w:val="nil"/>
              <w:left w:val="single" w:color="auto" w:sz="4" w:space="0"/>
              <w:bottom w:val="single" w:color="auto" w:sz="12" w:space="0"/>
              <w:right w:val="nil"/>
            </w:tcBorders>
            <w:vAlign w:val="center"/>
          </w:tcPr>
          <w:p>
            <w:pPr>
              <w:widowControl/>
              <w:spacing w:line="240" w:lineRule="atLeast"/>
              <w:ind w:left="57" w:right="851"/>
              <w:jc w:val="right"/>
              <w:rPr>
                <w:rFonts w:ascii="仿宋_GB2312" w:hAnsi="Times New Roman" w:eastAsia="仿宋_GB2312"/>
                <w:kern w:val="0"/>
                <w:sz w:val="18"/>
                <w:szCs w:val="18"/>
              </w:rPr>
            </w:pPr>
            <w:r>
              <w:rPr>
                <w:rFonts w:hint="eastAsia" w:ascii="仿宋_GB2312" w:hAnsi="Times New Roman" w:eastAsia="仿宋_GB2312"/>
                <w:kern w:val="0"/>
                <w:szCs w:val="21"/>
              </w:rPr>
              <w:t>　　　　46554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3"/>
            <w:tcBorders>
              <w:top w:val="single" w:color="auto" w:sz="12" w:space="0"/>
              <w:left w:val="nil"/>
              <w:bottom w:val="single" w:color="auto" w:sz="12" w:space="0"/>
              <w:right w:val="nil"/>
            </w:tcBorders>
            <w:shd w:val="clear" w:color="auto" w:fill="FFFFFF"/>
            <w:vAlign w:val="center"/>
          </w:tcPr>
          <w:p>
            <w:pPr>
              <w:widowControl/>
              <w:spacing w:line="320" w:lineRule="atLeast"/>
              <w:ind w:left="57" w:right="57" w:firstLine="105" w:firstLineChars="50"/>
              <w:jc w:val="left"/>
              <w:rPr>
                <w:rFonts w:ascii="楷体_GB2312" w:hAnsi="黑体" w:eastAsia="楷体_GB2312"/>
                <w:bCs/>
                <w:kern w:val="0"/>
                <w:sz w:val="21"/>
                <w:szCs w:val="21"/>
              </w:rPr>
            </w:pPr>
            <w:r>
              <w:rPr>
                <w:rFonts w:hint="eastAsia" w:ascii="楷体_GB2312" w:hAnsi="黑体" w:eastAsia="楷体_GB2312"/>
                <w:bCs/>
                <w:kern w:val="0"/>
                <w:sz w:val="21"/>
                <w:szCs w:val="21"/>
              </w:rPr>
              <w:t>注：表中内资企业中企业法人单位和从业人员数含股份合作企业数据。</w:t>
            </w:r>
            <w:bookmarkStart w:id="0" w:name="_GoBack"/>
            <w:bookmarkEnd w:id="0"/>
          </w:p>
          <w:p>
            <w:pPr>
              <w:widowControl/>
              <w:spacing w:line="320" w:lineRule="atLeast"/>
              <w:ind w:left="57" w:right="57" w:firstLine="120" w:firstLineChars="50"/>
              <w:jc w:val="left"/>
              <w:rPr>
                <w:rFonts w:ascii="楷体_GB2312" w:hAnsi="黑体" w:eastAsia="楷体_GB2312"/>
                <w:bCs/>
                <w:kern w:val="0"/>
                <w:sz w:val="24"/>
              </w:rPr>
            </w:pPr>
          </w:p>
          <w:p>
            <w:pPr>
              <w:widowControl/>
              <w:spacing w:line="320" w:lineRule="atLeast"/>
              <w:ind w:left="57" w:right="57"/>
              <w:jc w:val="center"/>
              <w:rPr>
                <w:rFonts w:ascii="黑体" w:hAnsi="黑体" w:eastAsia="黑体"/>
                <w:bCs/>
                <w:kern w:val="0"/>
                <w:sz w:val="24"/>
              </w:rPr>
            </w:pPr>
            <w:r>
              <w:rPr>
                <w:rFonts w:ascii="黑体" w:hAnsi="黑体" w:eastAsia="黑体"/>
                <w:bCs/>
                <w:kern w:val="0"/>
                <w:sz w:val="24"/>
              </w:rPr>
              <w:t>表3-6　按行业分组的建筑业企业法人单位和从业人员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362"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黑体" w:hAnsi="黑体" w:eastAsia="黑体"/>
                <w:kern w:val="0"/>
                <w:sz w:val="18"/>
                <w:szCs w:val="18"/>
              </w:rPr>
            </w:pPr>
            <w:r>
              <w:rPr>
                <w:rFonts w:ascii="黑体" w:hAnsi="黑体" w:eastAsia="黑体"/>
                <w:kern w:val="0"/>
                <w:szCs w:val="21"/>
              </w:rPr>
              <w:t>　</w:t>
            </w:r>
          </w:p>
        </w:tc>
        <w:tc>
          <w:tcPr>
            <w:tcW w:w="2510"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黑体" w:hAnsi="黑体" w:eastAsia="黑体"/>
                <w:kern w:val="0"/>
                <w:sz w:val="18"/>
                <w:szCs w:val="18"/>
              </w:rPr>
            </w:pPr>
            <w:r>
              <w:rPr>
                <w:rFonts w:ascii="黑体" w:hAnsi="黑体" w:eastAsia="黑体"/>
                <w:kern w:val="0"/>
                <w:szCs w:val="21"/>
              </w:rPr>
              <w:t>企业法人单位</w:t>
            </w:r>
          </w:p>
          <w:p>
            <w:pPr>
              <w:widowControl/>
              <w:spacing w:line="240" w:lineRule="atLeast"/>
              <w:ind w:left="57" w:right="57"/>
              <w:jc w:val="center"/>
              <w:rPr>
                <w:rFonts w:ascii="黑体" w:hAnsi="黑体" w:eastAsia="黑体"/>
                <w:kern w:val="0"/>
                <w:sz w:val="18"/>
                <w:szCs w:val="18"/>
              </w:rPr>
            </w:pPr>
            <w:r>
              <w:rPr>
                <w:rFonts w:ascii="黑体" w:hAnsi="黑体" w:eastAsia="黑体"/>
                <w:kern w:val="0"/>
                <w:szCs w:val="21"/>
              </w:rPr>
              <w:t>（个）</w:t>
            </w:r>
          </w:p>
        </w:tc>
        <w:tc>
          <w:tcPr>
            <w:tcW w:w="2434" w:type="dxa"/>
            <w:tcBorders>
              <w:top w:val="nil"/>
              <w:left w:val="single" w:color="auto" w:sz="4" w:space="0"/>
              <w:bottom w:val="single" w:color="auto" w:sz="4" w:space="0"/>
              <w:right w:val="nil"/>
            </w:tcBorders>
            <w:vAlign w:val="center"/>
          </w:tcPr>
          <w:p>
            <w:pPr>
              <w:widowControl/>
              <w:spacing w:line="240" w:lineRule="atLeast"/>
              <w:ind w:left="57" w:right="57"/>
              <w:jc w:val="center"/>
              <w:rPr>
                <w:rFonts w:ascii="黑体" w:hAnsi="黑体" w:eastAsia="黑体"/>
                <w:kern w:val="0"/>
                <w:sz w:val="18"/>
                <w:szCs w:val="18"/>
              </w:rPr>
            </w:pPr>
            <w:r>
              <w:rPr>
                <w:rFonts w:ascii="黑体" w:hAnsi="黑体" w:eastAsia="黑体"/>
                <w:kern w:val="0"/>
                <w:szCs w:val="21"/>
              </w:rPr>
              <w:t>从业人员</w:t>
            </w:r>
          </w:p>
          <w:p>
            <w:pPr>
              <w:widowControl/>
              <w:spacing w:line="240" w:lineRule="atLeast"/>
              <w:ind w:left="57" w:right="57"/>
              <w:jc w:val="center"/>
              <w:rPr>
                <w:rFonts w:ascii="黑体" w:hAnsi="黑体" w:eastAsia="黑体"/>
                <w:kern w:val="0"/>
                <w:sz w:val="18"/>
                <w:szCs w:val="18"/>
              </w:rPr>
            </w:pPr>
            <w:r>
              <w:rPr>
                <w:rFonts w:ascii="黑体" w:hAnsi="黑体" w:eastAsia="黑体"/>
                <w:kern w:val="0"/>
                <w:szCs w:val="21"/>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362"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仿宋_GB2312" w:hAnsi="Times New Roman" w:eastAsia="仿宋_GB2312"/>
                <w:kern w:val="0"/>
                <w:sz w:val="18"/>
                <w:szCs w:val="18"/>
              </w:rPr>
            </w:pPr>
            <w:r>
              <w:rPr>
                <w:rFonts w:hint="eastAsia" w:ascii="仿宋_GB2312" w:hAnsi="Times New Roman" w:eastAsia="仿宋_GB2312"/>
                <w:b/>
                <w:bCs/>
                <w:kern w:val="0"/>
                <w:szCs w:val="21"/>
              </w:rPr>
              <w:t>合　　计</w:t>
            </w:r>
          </w:p>
        </w:tc>
        <w:tc>
          <w:tcPr>
            <w:tcW w:w="2510" w:type="dxa"/>
            <w:tcBorders>
              <w:top w:val="single" w:color="auto" w:sz="4" w:space="0"/>
              <w:left w:val="single" w:color="auto" w:sz="4" w:space="0"/>
              <w:bottom w:val="nil"/>
              <w:right w:val="single" w:color="auto" w:sz="4" w:space="0"/>
            </w:tcBorders>
            <w:vAlign w:val="center"/>
          </w:tcPr>
          <w:p>
            <w:pPr>
              <w:widowControl/>
              <w:spacing w:line="240" w:lineRule="atLeast"/>
              <w:ind w:left="57" w:right="851"/>
              <w:jc w:val="right"/>
              <w:rPr>
                <w:rFonts w:ascii="仿宋_GB2312" w:hAnsi="Times New Roman" w:eastAsia="仿宋_GB2312"/>
                <w:kern w:val="0"/>
                <w:sz w:val="18"/>
                <w:szCs w:val="18"/>
              </w:rPr>
            </w:pPr>
            <w:r>
              <w:rPr>
                <w:rFonts w:hint="eastAsia" w:ascii="仿宋_GB2312" w:hAnsi="Times New Roman" w:eastAsia="仿宋_GB2312"/>
                <w:b/>
                <w:bCs/>
                <w:kern w:val="0"/>
                <w:szCs w:val="21"/>
              </w:rPr>
              <w:t>1036</w:t>
            </w:r>
          </w:p>
        </w:tc>
        <w:tc>
          <w:tcPr>
            <w:tcW w:w="2434" w:type="dxa"/>
            <w:tcBorders>
              <w:top w:val="single" w:color="auto" w:sz="4" w:space="0"/>
              <w:left w:val="single" w:color="auto" w:sz="4" w:space="0"/>
              <w:bottom w:val="nil"/>
              <w:right w:val="nil"/>
            </w:tcBorders>
            <w:vAlign w:val="center"/>
          </w:tcPr>
          <w:p>
            <w:pPr>
              <w:widowControl/>
              <w:spacing w:line="240" w:lineRule="atLeast"/>
              <w:ind w:left="57" w:right="851"/>
              <w:jc w:val="right"/>
              <w:rPr>
                <w:rFonts w:ascii="仿宋_GB2312" w:hAnsi="Times New Roman" w:eastAsia="仿宋_GB2312"/>
                <w:kern w:val="0"/>
                <w:sz w:val="18"/>
                <w:szCs w:val="18"/>
              </w:rPr>
            </w:pPr>
            <w:r>
              <w:rPr>
                <w:rFonts w:hint="eastAsia" w:ascii="仿宋_GB2312" w:hAnsi="Times New Roman" w:eastAsia="仿宋_GB2312"/>
                <w:b/>
                <w:bCs/>
                <w:kern w:val="0"/>
                <w:szCs w:val="21"/>
              </w:rPr>
              <w:t>93136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362" w:type="dxa"/>
            <w:tcBorders>
              <w:top w:val="nil"/>
              <w:left w:val="nil"/>
              <w:bottom w:val="nil"/>
              <w:right w:val="single" w:color="auto" w:sz="4" w:space="0"/>
            </w:tcBorders>
            <w:vAlign w:val="center"/>
          </w:tcPr>
          <w:p>
            <w:pPr>
              <w:widowControl/>
              <w:spacing w:line="240" w:lineRule="atLeast"/>
              <w:ind w:left="57" w:right="57"/>
              <w:rPr>
                <w:rFonts w:ascii="仿宋_GB2312" w:hAnsi="Times New Roman" w:eastAsia="仿宋_GB2312"/>
                <w:kern w:val="0"/>
                <w:sz w:val="18"/>
                <w:szCs w:val="18"/>
              </w:rPr>
            </w:pPr>
            <w:r>
              <w:rPr>
                <w:rFonts w:hint="eastAsia" w:ascii="仿宋_GB2312" w:hAnsi="Times New Roman" w:eastAsia="仿宋_GB2312"/>
                <w:kern w:val="0"/>
                <w:szCs w:val="21"/>
              </w:rPr>
              <w:t>　 房屋建筑业</w:t>
            </w:r>
          </w:p>
        </w:tc>
        <w:tc>
          <w:tcPr>
            <w:tcW w:w="2510" w:type="dxa"/>
            <w:tcBorders>
              <w:top w:val="nil"/>
              <w:left w:val="single" w:color="auto" w:sz="4" w:space="0"/>
              <w:bottom w:val="nil"/>
              <w:right w:val="single" w:color="auto" w:sz="4" w:space="0"/>
            </w:tcBorders>
            <w:vAlign w:val="center"/>
          </w:tcPr>
          <w:p>
            <w:pPr>
              <w:widowControl/>
              <w:spacing w:line="240" w:lineRule="atLeast"/>
              <w:ind w:left="57" w:right="851"/>
              <w:jc w:val="right"/>
              <w:rPr>
                <w:rFonts w:ascii="仿宋_GB2312" w:hAnsi="Times New Roman" w:eastAsia="仿宋_GB2312"/>
                <w:kern w:val="0"/>
                <w:sz w:val="18"/>
                <w:szCs w:val="18"/>
              </w:rPr>
            </w:pPr>
            <w:r>
              <w:rPr>
                <w:rFonts w:hint="eastAsia" w:ascii="仿宋_GB2312" w:hAnsi="Times New Roman" w:eastAsia="仿宋_GB2312"/>
                <w:kern w:val="0"/>
                <w:szCs w:val="21"/>
              </w:rPr>
              <w:t>　 247</w:t>
            </w:r>
          </w:p>
        </w:tc>
        <w:tc>
          <w:tcPr>
            <w:tcW w:w="2434" w:type="dxa"/>
            <w:tcBorders>
              <w:top w:val="nil"/>
              <w:left w:val="single" w:color="auto" w:sz="4" w:space="0"/>
              <w:bottom w:val="nil"/>
              <w:right w:val="nil"/>
            </w:tcBorders>
            <w:vAlign w:val="center"/>
          </w:tcPr>
          <w:p>
            <w:pPr>
              <w:widowControl/>
              <w:spacing w:line="240" w:lineRule="atLeast"/>
              <w:ind w:left="57" w:right="851"/>
              <w:jc w:val="right"/>
              <w:rPr>
                <w:rFonts w:ascii="仿宋_GB2312" w:hAnsi="Times New Roman" w:eastAsia="仿宋_GB2312"/>
                <w:kern w:val="0"/>
                <w:sz w:val="18"/>
                <w:szCs w:val="18"/>
              </w:rPr>
            </w:pPr>
            <w:r>
              <w:rPr>
                <w:rFonts w:hint="eastAsia" w:ascii="仿宋_GB2312" w:hAnsi="Times New Roman" w:eastAsia="仿宋_GB2312"/>
                <w:kern w:val="0"/>
                <w:szCs w:val="21"/>
              </w:rPr>
              <w:t>　72905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362" w:type="dxa"/>
            <w:tcBorders>
              <w:top w:val="nil"/>
              <w:left w:val="nil"/>
              <w:bottom w:val="nil"/>
              <w:right w:val="single" w:color="auto" w:sz="4" w:space="0"/>
            </w:tcBorders>
            <w:vAlign w:val="center"/>
          </w:tcPr>
          <w:p>
            <w:pPr>
              <w:widowControl/>
              <w:spacing w:line="240" w:lineRule="atLeast"/>
              <w:ind w:left="57" w:right="57"/>
              <w:rPr>
                <w:rFonts w:ascii="仿宋_GB2312" w:hAnsi="Times New Roman" w:eastAsia="仿宋_GB2312"/>
                <w:kern w:val="0"/>
                <w:sz w:val="18"/>
                <w:szCs w:val="18"/>
              </w:rPr>
            </w:pPr>
            <w:r>
              <w:rPr>
                <w:rFonts w:hint="eastAsia" w:ascii="仿宋_GB2312" w:hAnsi="Times New Roman" w:eastAsia="仿宋_GB2312"/>
                <w:kern w:val="0"/>
                <w:szCs w:val="21"/>
              </w:rPr>
              <w:t>　 土木工程建筑业</w:t>
            </w:r>
          </w:p>
        </w:tc>
        <w:tc>
          <w:tcPr>
            <w:tcW w:w="2510" w:type="dxa"/>
            <w:tcBorders>
              <w:top w:val="nil"/>
              <w:left w:val="single" w:color="auto" w:sz="4" w:space="0"/>
              <w:bottom w:val="nil"/>
              <w:right w:val="single" w:color="auto" w:sz="4" w:space="0"/>
            </w:tcBorders>
            <w:vAlign w:val="center"/>
          </w:tcPr>
          <w:p>
            <w:pPr>
              <w:widowControl/>
              <w:spacing w:line="240" w:lineRule="atLeast"/>
              <w:ind w:left="57" w:right="851"/>
              <w:jc w:val="right"/>
              <w:rPr>
                <w:rFonts w:ascii="仿宋_GB2312" w:hAnsi="Times New Roman" w:eastAsia="仿宋_GB2312"/>
                <w:kern w:val="0"/>
                <w:sz w:val="18"/>
                <w:szCs w:val="18"/>
              </w:rPr>
            </w:pPr>
            <w:r>
              <w:rPr>
                <w:rFonts w:hint="eastAsia" w:ascii="仿宋_GB2312" w:hAnsi="Times New Roman" w:eastAsia="仿宋_GB2312"/>
                <w:kern w:val="0"/>
                <w:szCs w:val="21"/>
              </w:rPr>
              <w:t>　 125</w:t>
            </w:r>
          </w:p>
        </w:tc>
        <w:tc>
          <w:tcPr>
            <w:tcW w:w="2434" w:type="dxa"/>
            <w:tcBorders>
              <w:top w:val="nil"/>
              <w:left w:val="single" w:color="auto" w:sz="4" w:space="0"/>
              <w:bottom w:val="nil"/>
              <w:right w:val="nil"/>
            </w:tcBorders>
            <w:vAlign w:val="center"/>
          </w:tcPr>
          <w:p>
            <w:pPr>
              <w:widowControl/>
              <w:spacing w:line="240" w:lineRule="atLeast"/>
              <w:ind w:left="57" w:right="851"/>
              <w:jc w:val="right"/>
              <w:rPr>
                <w:rFonts w:ascii="仿宋_GB2312" w:hAnsi="Times New Roman" w:eastAsia="仿宋_GB2312"/>
                <w:kern w:val="0"/>
                <w:sz w:val="18"/>
                <w:szCs w:val="18"/>
              </w:rPr>
            </w:pPr>
            <w:r>
              <w:rPr>
                <w:rFonts w:hint="eastAsia" w:ascii="仿宋_GB2312" w:hAnsi="Times New Roman" w:eastAsia="仿宋_GB2312"/>
                <w:kern w:val="0"/>
                <w:szCs w:val="21"/>
              </w:rPr>
              <w:t>　 8950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362" w:type="dxa"/>
            <w:tcBorders>
              <w:top w:val="nil"/>
              <w:left w:val="nil"/>
              <w:bottom w:val="nil"/>
              <w:right w:val="single" w:color="auto" w:sz="4" w:space="0"/>
            </w:tcBorders>
            <w:vAlign w:val="center"/>
          </w:tcPr>
          <w:p>
            <w:pPr>
              <w:widowControl/>
              <w:spacing w:line="240" w:lineRule="atLeast"/>
              <w:ind w:left="57" w:right="57"/>
              <w:rPr>
                <w:rFonts w:ascii="仿宋_GB2312" w:hAnsi="Times New Roman" w:eastAsia="仿宋_GB2312"/>
                <w:kern w:val="0"/>
                <w:sz w:val="18"/>
                <w:szCs w:val="18"/>
              </w:rPr>
            </w:pPr>
            <w:r>
              <w:rPr>
                <w:rFonts w:hint="eastAsia" w:ascii="仿宋_GB2312" w:hAnsi="Times New Roman" w:eastAsia="仿宋_GB2312"/>
                <w:kern w:val="0"/>
                <w:szCs w:val="21"/>
              </w:rPr>
              <w:t>　 建筑安装业</w:t>
            </w:r>
          </w:p>
        </w:tc>
        <w:tc>
          <w:tcPr>
            <w:tcW w:w="2510" w:type="dxa"/>
            <w:tcBorders>
              <w:top w:val="nil"/>
              <w:left w:val="single" w:color="auto" w:sz="4" w:space="0"/>
              <w:bottom w:val="nil"/>
              <w:right w:val="single" w:color="auto" w:sz="4" w:space="0"/>
            </w:tcBorders>
            <w:vAlign w:val="center"/>
          </w:tcPr>
          <w:p>
            <w:pPr>
              <w:widowControl/>
              <w:spacing w:line="240" w:lineRule="atLeast"/>
              <w:ind w:left="57" w:right="851"/>
              <w:jc w:val="right"/>
              <w:rPr>
                <w:rFonts w:ascii="仿宋_GB2312" w:hAnsi="Times New Roman" w:eastAsia="仿宋_GB2312"/>
                <w:kern w:val="0"/>
                <w:sz w:val="18"/>
                <w:szCs w:val="18"/>
              </w:rPr>
            </w:pPr>
            <w:r>
              <w:rPr>
                <w:rFonts w:hint="eastAsia" w:ascii="仿宋_GB2312" w:hAnsi="Times New Roman" w:eastAsia="仿宋_GB2312"/>
                <w:kern w:val="0"/>
                <w:szCs w:val="21"/>
              </w:rPr>
              <w:t>　 148</w:t>
            </w:r>
          </w:p>
        </w:tc>
        <w:tc>
          <w:tcPr>
            <w:tcW w:w="2434" w:type="dxa"/>
            <w:tcBorders>
              <w:top w:val="nil"/>
              <w:left w:val="single" w:color="auto" w:sz="4" w:space="0"/>
              <w:bottom w:val="nil"/>
              <w:right w:val="nil"/>
            </w:tcBorders>
            <w:vAlign w:val="center"/>
          </w:tcPr>
          <w:p>
            <w:pPr>
              <w:widowControl/>
              <w:spacing w:line="240" w:lineRule="atLeast"/>
              <w:ind w:left="57" w:right="851" w:firstLine="315" w:firstLineChars="150"/>
              <w:jc w:val="right"/>
              <w:rPr>
                <w:rFonts w:ascii="仿宋_GB2312" w:hAnsi="Times New Roman" w:eastAsia="仿宋_GB2312"/>
                <w:kern w:val="0"/>
                <w:sz w:val="18"/>
                <w:szCs w:val="18"/>
              </w:rPr>
            </w:pPr>
            <w:r>
              <w:rPr>
                <w:rFonts w:hint="eastAsia" w:ascii="仿宋_GB2312" w:hAnsi="Times New Roman" w:eastAsia="仿宋_GB2312"/>
                <w:kern w:val="0"/>
                <w:szCs w:val="21"/>
              </w:rPr>
              <w:t>4322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362" w:type="dxa"/>
            <w:tcBorders>
              <w:top w:val="nil"/>
              <w:left w:val="nil"/>
              <w:bottom w:val="single" w:color="auto" w:sz="12" w:space="0"/>
              <w:right w:val="single" w:color="auto" w:sz="4" w:space="0"/>
            </w:tcBorders>
            <w:vAlign w:val="center"/>
          </w:tcPr>
          <w:p>
            <w:pPr>
              <w:widowControl/>
              <w:spacing w:line="240" w:lineRule="atLeast"/>
              <w:ind w:left="57" w:right="57"/>
              <w:rPr>
                <w:rFonts w:ascii="仿宋_GB2312" w:hAnsi="Times New Roman" w:eastAsia="仿宋_GB2312"/>
                <w:kern w:val="0"/>
                <w:sz w:val="18"/>
                <w:szCs w:val="18"/>
              </w:rPr>
            </w:pPr>
            <w:r>
              <w:rPr>
                <w:rFonts w:hint="eastAsia" w:ascii="仿宋_GB2312" w:hAnsi="Times New Roman" w:eastAsia="仿宋_GB2312"/>
                <w:kern w:val="0"/>
                <w:szCs w:val="21"/>
              </w:rPr>
              <w:t>　 建筑装饰、装修和其他建筑业</w:t>
            </w:r>
          </w:p>
        </w:tc>
        <w:tc>
          <w:tcPr>
            <w:tcW w:w="2510" w:type="dxa"/>
            <w:tcBorders>
              <w:top w:val="nil"/>
              <w:left w:val="single" w:color="auto" w:sz="4" w:space="0"/>
              <w:bottom w:val="single" w:color="auto" w:sz="12" w:space="0"/>
              <w:right w:val="single" w:color="auto" w:sz="4" w:space="0"/>
            </w:tcBorders>
            <w:vAlign w:val="center"/>
          </w:tcPr>
          <w:p>
            <w:pPr>
              <w:widowControl/>
              <w:spacing w:line="240" w:lineRule="atLeast"/>
              <w:ind w:left="57" w:right="851" w:firstLine="315" w:firstLineChars="150"/>
              <w:jc w:val="right"/>
              <w:rPr>
                <w:rFonts w:ascii="仿宋_GB2312" w:hAnsi="Times New Roman" w:eastAsia="仿宋_GB2312"/>
                <w:kern w:val="0"/>
                <w:sz w:val="18"/>
                <w:szCs w:val="18"/>
              </w:rPr>
            </w:pPr>
            <w:r>
              <w:rPr>
                <w:rFonts w:hint="eastAsia" w:ascii="仿宋_GB2312" w:hAnsi="Times New Roman" w:eastAsia="仿宋_GB2312"/>
                <w:kern w:val="0"/>
                <w:szCs w:val="21"/>
              </w:rPr>
              <w:t>516</w:t>
            </w:r>
          </w:p>
        </w:tc>
        <w:tc>
          <w:tcPr>
            <w:tcW w:w="2434" w:type="dxa"/>
            <w:tcBorders>
              <w:top w:val="nil"/>
              <w:left w:val="single" w:color="auto" w:sz="4" w:space="0"/>
              <w:bottom w:val="single" w:color="auto" w:sz="12" w:space="0"/>
              <w:right w:val="nil"/>
            </w:tcBorders>
            <w:vAlign w:val="center"/>
          </w:tcPr>
          <w:p>
            <w:pPr>
              <w:widowControl/>
              <w:spacing w:line="240" w:lineRule="atLeast"/>
              <w:ind w:left="57" w:right="851"/>
              <w:jc w:val="right"/>
              <w:rPr>
                <w:rFonts w:ascii="仿宋_GB2312" w:hAnsi="Times New Roman" w:eastAsia="仿宋_GB2312"/>
                <w:kern w:val="0"/>
                <w:sz w:val="18"/>
                <w:szCs w:val="18"/>
              </w:rPr>
            </w:pPr>
            <w:r>
              <w:rPr>
                <w:rFonts w:hint="eastAsia" w:ascii="仿宋_GB2312" w:hAnsi="Times New Roman" w:eastAsia="仿宋_GB2312"/>
                <w:kern w:val="0"/>
                <w:szCs w:val="21"/>
              </w:rPr>
              <w:t>　 6959</w:t>
            </w:r>
          </w:p>
        </w:tc>
      </w:tr>
    </w:tbl>
    <w:p>
      <w:pPr>
        <w:widowControl/>
        <w:spacing w:line="57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（二）主要经济指标。</w:t>
      </w:r>
    </w:p>
    <w:p>
      <w:pPr>
        <w:adjustRightInd w:val="0"/>
        <w:spacing w:line="540" w:lineRule="exact"/>
        <w:ind w:firstLine="640" w:firstLineChars="200"/>
        <w:rPr>
          <w:rFonts w:ascii="仿宋_GB2312" w:eastAsia="仿宋_GB2312"/>
          <w:kern w:val="0"/>
          <w:sz w:val="32"/>
          <w:szCs w:val="32"/>
        </w:rPr>
      </w:pPr>
      <w:r>
        <w:rPr>
          <w:rFonts w:ascii="仿宋_GB2312" w:eastAsia="仿宋_GB2312"/>
          <w:kern w:val="0"/>
          <w:sz w:val="32"/>
          <w:szCs w:val="32"/>
        </w:rPr>
        <w:t>2018年末，建筑业企业法人单位资产总计344.15亿元，比2013年末增长157.1%。负债合计213.74亿元。全年实现营业收入246.86亿元（详见表3-7）</w:t>
      </w:r>
      <w:r>
        <w:rPr>
          <w:rFonts w:hint="eastAsia" w:ascii="仿宋_GB2312" w:eastAsia="仿宋_GB2312"/>
          <w:kern w:val="0"/>
          <w:sz w:val="32"/>
          <w:szCs w:val="32"/>
        </w:rPr>
        <w:t>。</w:t>
      </w:r>
    </w:p>
    <w:p>
      <w:pPr>
        <w:adjustRightInd w:val="0"/>
        <w:spacing w:line="300" w:lineRule="exact"/>
        <w:ind w:firstLine="640" w:firstLineChars="200"/>
        <w:rPr>
          <w:rFonts w:ascii="仿宋_GB2312" w:eastAsia="仿宋_GB2312"/>
          <w:kern w:val="0"/>
          <w:sz w:val="32"/>
          <w:szCs w:val="32"/>
        </w:rPr>
      </w:pP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091"/>
        <w:gridCol w:w="1865"/>
        <w:gridCol w:w="1821"/>
        <w:gridCol w:w="184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8619" w:type="dxa"/>
            <w:gridSpan w:val="4"/>
            <w:tcBorders>
              <w:top w:val="nil"/>
              <w:left w:val="nil"/>
              <w:bottom w:val="single" w:color="auto" w:sz="12" w:space="0"/>
              <w:right w:val="nil"/>
            </w:tcBorders>
            <w:shd w:val="clear" w:color="auto" w:fill="FFFFFF"/>
          </w:tcPr>
          <w:p>
            <w:pPr>
              <w:widowControl/>
              <w:spacing w:line="320" w:lineRule="atLeast"/>
              <w:ind w:left="57" w:right="57"/>
              <w:jc w:val="center"/>
              <w:rPr>
                <w:rFonts w:ascii="黑体" w:hAnsi="黑体" w:eastAsia="黑体"/>
                <w:bCs/>
                <w:kern w:val="0"/>
                <w:sz w:val="24"/>
              </w:rPr>
            </w:pPr>
            <w:r>
              <w:rPr>
                <w:rFonts w:ascii="黑体" w:hAnsi="黑体" w:eastAsia="黑体"/>
                <w:bCs/>
                <w:kern w:val="0"/>
                <w:sz w:val="24"/>
              </w:rPr>
              <w:t>表3-7　按行业分组的建筑业企业法人单位主要经济指标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091" w:type="dxa"/>
            <w:tcBorders>
              <w:top w:val="nil"/>
              <w:left w:val="nil"/>
              <w:bottom w:val="single" w:color="auto" w:sz="4" w:space="0"/>
              <w:right w:val="single" w:color="auto" w:sz="4" w:space="0"/>
            </w:tcBorders>
            <w:vAlign w:val="center"/>
          </w:tcPr>
          <w:p>
            <w:pPr>
              <w:widowControl/>
              <w:spacing w:line="240" w:lineRule="atLeast"/>
              <w:ind w:left="57" w:right="57"/>
              <w:jc w:val="center"/>
              <w:rPr>
                <w:rFonts w:ascii="黑体" w:hAnsi="黑体" w:eastAsia="黑体"/>
                <w:kern w:val="0"/>
                <w:sz w:val="18"/>
                <w:szCs w:val="18"/>
              </w:rPr>
            </w:pPr>
            <w:r>
              <w:rPr>
                <w:rFonts w:ascii="黑体" w:hAnsi="黑体" w:eastAsia="黑体"/>
                <w:kern w:val="0"/>
                <w:szCs w:val="21"/>
              </w:rPr>
              <w:t>　</w:t>
            </w:r>
          </w:p>
        </w:tc>
        <w:tc>
          <w:tcPr>
            <w:tcW w:w="1865"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黑体" w:hAnsi="黑体" w:eastAsia="黑体"/>
                <w:kern w:val="0"/>
                <w:szCs w:val="21"/>
              </w:rPr>
            </w:pPr>
            <w:r>
              <w:rPr>
                <w:rFonts w:ascii="黑体" w:hAnsi="黑体" w:eastAsia="黑体"/>
                <w:kern w:val="0"/>
                <w:szCs w:val="21"/>
              </w:rPr>
              <w:t>资产总计（亿元）</w:t>
            </w:r>
          </w:p>
        </w:tc>
        <w:tc>
          <w:tcPr>
            <w:tcW w:w="1821" w:type="dxa"/>
            <w:tcBorders>
              <w:top w:val="nil"/>
              <w:left w:val="single" w:color="auto" w:sz="4" w:space="0"/>
              <w:bottom w:val="single" w:color="auto" w:sz="4" w:space="0"/>
              <w:right w:val="single" w:color="auto" w:sz="4" w:space="0"/>
            </w:tcBorders>
            <w:vAlign w:val="center"/>
          </w:tcPr>
          <w:p>
            <w:pPr>
              <w:widowControl/>
              <w:spacing w:line="240" w:lineRule="atLeast"/>
              <w:ind w:right="57"/>
              <w:jc w:val="center"/>
              <w:rPr>
                <w:rFonts w:ascii="黑体" w:hAnsi="黑体" w:eastAsia="黑体"/>
                <w:kern w:val="0"/>
                <w:szCs w:val="21"/>
              </w:rPr>
            </w:pPr>
            <w:r>
              <w:rPr>
                <w:rFonts w:ascii="黑体" w:hAnsi="黑体" w:eastAsia="黑体"/>
                <w:kern w:val="0"/>
                <w:szCs w:val="21"/>
              </w:rPr>
              <w:t>负债合计（亿元）</w:t>
            </w:r>
          </w:p>
        </w:tc>
        <w:tc>
          <w:tcPr>
            <w:tcW w:w="1842" w:type="dxa"/>
            <w:tcBorders>
              <w:top w:val="nil"/>
              <w:left w:val="single" w:color="auto" w:sz="4" w:space="0"/>
              <w:bottom w:val="single" w:color="auto" w:sz="4" w:space="0"/>
              <w:right w:val="nil"/>
            </w:tcBorders>
            <w:vAlign w:val="center"/>
          </w:tcPr>
          <w:p>
            <w:pPr>
              <w:widowControl/>
              <w:spacing w:line="240" w:lineRule="atLeast"/>
              <w:ind w:right="57"/>
              <w:jc w:val="center"/>
              <w:rPr>
                <w:rFonts w:ascii="黑体" w:hAnsi="黑体" w:eastAsia="黑体"/>
                <w:kern w:val="0"/>
                <w:sz w:val="18"/>
                <w:szCs w:val="18"/>
              </w:rPr>
            </w:pPr>
            <w:r>
              <w:rPr>
                <w:rFonts w:ascii="黑体" w:hAnsi="黑体" w:eastAsia="黑体"/>
                <w:kern w:val="0"/>
                <w:szCs w:val="21"/>
              </w:rPr>
              <w:t>营业收入（亿元）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091"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仿宋_GB2312" w:hAnsi="Times New Roman" w:eastAsia="仿宋_GB2312"/>
                <w:kern w:val="0"/>
                <w:sz w:val="18"/>
                <w:szCs w:val="18"/>
              </w:rPr>
            </w:pPr>
            <w:r>
              <w:rPr>
                <w:rFonts w:hint="eastAsia" w:ascii="仿宋_GB2312" w:hAnsi="Times New Roman" w:eastAsia="仿宋_GB2312"/>
                <w:b/>
                <w:bCs/>
                <w:kern w:val="0"/>
                <w:szCs w:val="21"/>
              </w:rPr>
              <w:t>合　　计</w:t>
            </w:r>
          </w:p>
        </w:tc>
        <w:tc>
          <w:tcPr>
            <w:tcW w:w="1865" w:type="dxa"/>
            <w:tcBorders>
              <w:top w:val="single" w:color="auto" w:sz="4" w:space="0"/>
              <w:left w:val="single" w:color="auto" w:sz="4" w:space="0"/>
              <w:bottom w:val="nil"/>
              <w:right w:val="single" w:color="auto" w:sz="4" w:space="0"/>
            </w:tcBorders>
            <w:vAlign w:val="center"/>
          </w:tcPr>
          <w:p>
            <w:pPr>
              <w:widowControl/>
              <w:spacing w:line="240" w:lineRule="atLeast"/>
              <w:ind w:left="57" w:right="567"/>
              <w:jc w:val="right"/>
              <w:rPr>
                <w:rFonts w:ascii="仿宋_GB2312" w:hAnsi="Times New Roman" w:eastAsia="仿宋_GB2312"/>
                <w:kern w:val="0"/>
                <w:sz w:val="18"/>
                <w:szCs w:val="18"/>
              </w:rPr>
            </w:pPr>
            <w:r>
              <w:rPr>
                <w:rFonts w:hint="eastAsia" w:ascii="仿宋_GB2312" w:hAnsi="Times New Roman" w:eastAsia="仿宋_GB2312"/>
                <w:b/>
                <w:bCs/>
                <w:kern w:val="0"/>
                <w:szCs w:val="21"/>
              </w:rPr>
              <w:t>344.15</w:t>
            </w:r>
          </w:p>
        </w:tc>
        <w:tc>
          <w:tcPr>
            <w:tcW w:w="1821" w:type="dxa"/>
            <w:tcBorders>
              <w:top w:val="single" w:color="auto" w:sz="4" w:space="0"/>
              <w:left w:val="single" w:color="auto" w:sz="4" w:space="0"/>
              <w:bottom w:val="nil"/>
              <w:right w:val="single" w:color="auto" w:sz="4" w:space="0"/>
            </w:tcBorders>
            <w:vAlign w:val="center"/>
          </w:tcPr>
          <w:p>
            <w:pPr>
              <w:widowControl/>
              <w:spacing w:line="240" w:lineRule="atLeast"/>
              <w:ind w:left="57" w:right="567"/>
              <w:jc w:val="right"/>
              <w:rPr>
                <w:rFonts w:ascii="仿宋_GB2312" w:hAnsi="Times New Roman" w:eastAsia="仿宋_GB2312"/>
                <w:kern w:val="0"/>
                <w:sz w:val="18"/>
                <w:szCs w:val="18"/>
              </w:rPr>
            </w:pPr>
            <w:r>
              <w:rPr>
                <w:rFonts w:hint="eastAsia" w:ascii="仿宋_GB2312" w:hAnsi="Times New Roman" w:eastAsia="仿宋_GB2312"/>
                <w:b/>
                <w:bCs/>
                <w:kern w:val="0"/>
                <w:szCs w:val="21"/>
              </w:rPr>
              <w:t>213.74</w:t>
            </w:r>
          </w:p>
        </w:tc>
        <w:tc>
          <w:tcPr>
            <w:tcW w:w="1842" w:type="dxa"/>
            <w:tcBorders>
              <w:top w:val="single" w:color="auto" w:sz="4" w:space="0"/>
              <w:left w:val="single" w:color="auto" w:sz="4" w:space="0"/>
              <w:bottom w:val="nil"/>
              <w:right w:val="nil"/>
            </w:tcBorders>
            <w:vAlign w:val="center"/>
          </w:tcPr>
          <w:p>
            <w:pPr>
              <w:widowControl/>
              <w:spacing w:line="240" w:lineRule="atLeast"/>
              <w:ind w:left="57" w:right="567"/>
              <w:jc w:val="right"/>
              <w:rPr>
                <w:rFonts w:ascii="仿宋_GB2312" w:hAnsi="Times New Roman" w:eastAsia="仿宋_GB2312"/>
                <w:kern w:val="0"/>
                <w:sz w:val="18"/>
                <w:szCs w:val="18"/>
              </w:rPr>
            </w:pPr>
            <w:r>
              <w:rPr>
                <w:rFonts w:hint="eastAsia" w:ascii="仿宋_GB2312" w:hAnsi="Times New Roman" w:eastAsia="仿宋_GB2312"/>
                <w:b/>
                <w:bCs/>
                <w:kern w:val="0"/>
                <w:szCs w:val="21"/>
              </w:rPr>
              <w:t>246.86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091" w:type="dxa"/>
            <w:tcBorders>
              <w:top w:val="nil"/>
              <w:left w:val="nil"/>
              <w:bottom w:val="nil"/>
              <w:right w:val="single" w:color="auto" w:sz="4" w:space="0"/>
            </w:tcBorders>
            <w:vAlign w:val="center"/>
          </w:tcPr>
          <w:p>
            <w:pPr>
              <w:widowControl/>
              <w:spacing w:line="240" w:lineRule="atLeast"/>
              <w:ind w:left="210" w:leftChars="100" w:right="57"/>
              <w:rPr>
                <w:rFonts w:ascii="仿宋_GB2312" w:hAnsi="Times New Roman" w:eastAsia="仿宋_GB2312"/>
                <w:kern w:val="0"/>
                <w:sz w:val="18"/>
                <w:szCs w:val="18"/>
              </w:rPr>
            </w:pPr>
            <w:r>
              <w:rPr>
                <w:rFonts w:hint="eastAsia" w:ascii="仿宋_GB2312" w:hAnsi="Times New Roman" w:eastAsia="仿宋_GB2312"/>
                <w:kern w:val="0"/>
                <w:szCs w:val="21"/>
              </w:rPr>
              <w:t>房屋建筑业</w:t>
            </w:r>
          </w:p>
        </w:tc>
        <w:tc>
          <w:tcPr>
            <w:tcW w:w="1865" w:type="dxa"/>
            <w:tcBorders>
              <w:top w:val="nil"/>
              <w:left w:val="single" w:color="auto" w:sz="4" w:space="0"/>
              <w:bottom w:val="nil"/>
              <w:right w:val="single" w:color="auto" w:sz="4" w:space="0"/>
            </w:tcBorders>
            <w:vAlign w:val="center"/>
          </w:tcPr>
          <w:p>
            <w:pPr>
              <w:widowControl/>
              <w:spacing w:line="240" w:lineRule="atLeast"/>
              <w:ind w:left="57" w:right="567"/>
              <w:jc w:val="right"/>
              <w:rPr>
                <w:rFonts w:ascii="仿宋_GB2312" w:hAnsi="Times New Roman" w:eastAsia="仿宋_GB2312"/>
                <w:kern w:val="0"/>
                <w:sz w:val="18"/>
                <w:szCs w:val="18"/>
              </w:rPr>
            </w:pPr>
            <w:r>
              <w:rPr>
                <w:rFonts w:hint="eastAsia" w:ascii="仿宋_GB2312" w:hAnsi="Times New Roman" w:eastAsia="仿宋_GB2312"/>
                <w:kern w:val="0"/>
                <w:szCs w:val="21"/>
              </w:rPr>
              <w:t>168.50</w:t>
            </w:r>
          </w:p>
        </w:tc>
        <w:tc>
          <w:tcPr>
            <w:tcW w:w="1821" w:type="dxa"/>
            <w:tcBorders>
              <w:top w:val="nil"/>
              <w:left w:val="single" w:color="auto" w:sz="4" w:space="0"/>
              <w:bottom w:val="nil"/>
              <w:right w:val="single" w:color="auto" w:sz="4" w:space="0"/>
            </w:tcBorders>
            <w:vAlign w:val="center"/>
          </w:tcPr>
          <w:p>
            <w:pPr>
              <w:widowControl/>
              <w:spacing w:line="240" w:lineRule="atLeast"/>
              <w:ind w:left="57" w:right="567"/>
              <w:jc w:val="right"/>
              <w:rPr>
                <w:rFonts w:ascii="仿宋_GB2312" w:hAnsi="Times New Roman" w:eastAsia="仿宋_GB2312"/>
                <w:kern w:val="0"/>
                <w:sz w:val="18"/>
                <w:szCs w:val="18"/>
              </w:rPr>
            </w:pPr>
            <w:r>
              <w:rPr>
                <w:rFonts w:hint="eastAsia" w:ascii="仿宋_GB2312" w:hAnsi="Times New Roman" w:eastAsia="仿宋_GB2312"/>
                <w:kern w:val="0"/>
                <w:szCs w:val="21"/>
              </w:rPr>
              <w:t>105.90</w:t>
            </w:r>
          </w:p>
        </w:tc>
        <w:tc>
          <w:tcPr>
            <w:tcW w:w="1842" w:type="dxa"/>
            <w:tcBorders>
              <w:top w:val="nil"/>
              <w:left w:val="single" w:color="auto" w:sz="4" w:space="0"/>
              <w:bottom w:val="nil"/>
              <w:right w:val="nil"/>
            </w:tcBorders>
            <w:vAlign w:val="center"/>
          </w:tcPr>
          <w:p>
            <w:pPr>
              <w:widowControl/>
              <w:spacing w:line="240" w:lineRule="atLeast"/>
              <w:ind w:left="57" w:right="567"/>
              <w:jc w:val="right"/>
              <w:rPr>
                <w:rFonts w:ascii="仿宋_GB2312" w:hAnsi="Times New Roman" w:eastAsia="仿宋_GB2312"/>
                <w:kern w:val="0"/>
                <w:sz w:val="18"/>
                <w:szCs w:val="18"/>
              </w:rPr>
            </w:pPr>
            <w:r>
              <w:rPr>
                <w:rFonts w:hint="eastAsia" w:ascii="仿宋_GB2312" w:hAnsi="Times New Roman" w:eastAsia="仿宋_GB2312"/>
                <w:kern w:val="0"/>
                <w:szCs w:val="21"/>
              </w:rPr>
              <w:t>194.71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091" w:type="dxa"/>
            <w:tcBorders>
              <w:top w:val="nil"/>
              <w:left w:val="nil"/>
              <w:bottom w:val="nil"/>
              <w:right w:val="single" w:color="auto" w:sz="4" w:space="0"/>
            </w:tcBorders>
            <w:vAlign w:val="center"/>
          </w:tcPr>
          <w:p>
            <w:pPr>
              <w:widowControl/>
              <w:spacing w:line="240" w:lineRule="atLeast"/>
              <w:ind w:left="210" w:leftChars="100" w:right="57"/>
              <w:rPr>
                <w:rFonts w:ascii="仿宋_GB2312" w:hAnsi="Times New Roman" w:eastAsia="仿宋_GB2312"/>
                <w:kern w:val="0"/>
                <w:sz w:val="18"/>
                <w:szCs w:val="18"/>
              </w:rPr>
            </w:pPr>
            <w:r>
              <w:rPr>
                <w:rFonts w:hint="eastAsia" w:ascii="仿宋_GB2312" w:hAnsi="Times New Roman" w:eastAsia="仿宋_GB2312"/>
                <w:kern w:val="0"/>
                <w:szCs w:val="21"/>
              </w:rPr>
              <w:t>土木工程建筑业</w:t>
            </w:r>
          </w:p>
        </w:tc>
        <w:tc>
          <w:tcPr>
            <w:tcW w:w="1865" w:type="dxa"/>
            <w:tcBorders>
              <w:top w:val="nil"/>
              <w:left w:val="single" w:color="auto" w:sz="4" w:space="0"/>
              <w:bottom w:val="nil"/>
              <w:right w:val="single" w:color="auto" w:sz="4" w:space="0"/>
            </w:tcBorders>
            <w:vAlign w:val="center"/>
          </w:tcPr>
          <w:p>
            <w:pPr>
              <w:widowControl/>
              <w:spacing w:line="240" w:lineRule="atLeast"/>
              <w:ind w:left="57" w:right="567"/>
              <w:jc w:val="right"/>
              <w:rPr>
                <w:rFonts w:ascii="仿宋_GB2312" w:hAnsi="Times New Roman" w:eastAsia="仿宋_GB2312"/>
                <w:kern w:val="0"/>
                <w:sz w:val="18"/>
                <w:szCs w:val="18"/>
              </w:rPr>
            </w:pPr>
            <w:r>
              <w:rPr>
                <w:rFonts w:hint="eastAsia" w:ascii="仿宋_GB2312" w:hAnsi="Times New Roman" w:eastAsia="仿宋_GB2312"/>
                <w:kern w:val="0"/>
                <w:szCs w:val="21"/>
              </w:rPr>
              <w:t>143.90</w:t>
            </w:r>
          </w:p>
        </w:tc>
        <w:tc>
          <w:tcPr>
            <w:tcW w:w="1821" w:type="dxa"/>
            <w:tcBorders>
              <w:top w:val="nil"/>
              <w:left w:val="single" w:color="auto" w:sz="4" w:space="0"/>
              <w:bottom w:val="nil"/>
              <w:right w:val="single" w:color="auto" w:sz="4" w:space="0"/>
            </w:tcBorders>
            <w:vAlign w:val="center"/>
          </w:tcPr>
          <w:p>
            <w:pPr>
              <w:widowControl/>
              <w:spacing w:line="240" w:lineRule="atLeast"/>
              <w:ind w:left="57" w:right="567"/>
              <w:jc w:val="right"/>
              <w:rPr>
                <w:rFonts w:ascii="仿宋_GB2312" w:hAnsi="Times New Roman" w:eastAsia="仿宋_GB2312"/>
                <w:kern w:val="0"/>
                <w:sz w:val="18"/>
                <w:szCs w:val="18"/>
              </w:rPr>
            </w:pPr>
            <w:r>
              <w:rPr>
                <w:rFonts w:hint="eastAsia" w:ascii="仿宋_GB2312" w:hAnsi="Times New Roman" w:eastAsia="仿宋_GB2312"/>
                <w:kern w:val="0"/>
                <w:szCs w:val="21"/>
              </w:rPr>
              <w:t>87.85</w:t>
            </w:r>
          </w:p>
        </w:tc>
        <w:tc>
          <w:tcPr>
            <w:tcW w:w="1842" w:type="dxa"/>
            <w:tcBorders>
              <w:top w:val="nil"/>
              <w:left w:val="single" w:color="auto" w:sz="4" w:space="0"/>
              <w:bottom w:val="nil"/>
              <w:right w:val="nil"/>
            </w:tcBorders>
            <w:vAlign w:val="center"/>
          </w:tcPr>
          <w:p>
            <w:pPr>
              <w:widowControl/>
              <w:spacing w:line="240" w:lineRule="atLeast"/>
              <w:ind w:left="57" w:right="567"/>
              <w:jc w:val="right"/>
              <w:rPr>
                <w:rFonts w:ascii="仿宋_GB2312" w:hAnsi="Times New Roman" w:eastAsia="仿宋_GB2312"/>
                <w:kern w:val="0"/>
                <w:sz w:val="18"/>
                <w:szCs w:val="18"/>
              </w:rPr>
            </w:pPr>
            <w:r>
              <w:rPr>
                <w:rFonts w:hint="eastAsia" w:ascii="仿宋_GB2312" w:hAnsi="Times New Roman" w:eastAsia="仿宋_GB2312"/>
                <w:kern w:val="0"/>
                <w:szCs w:val="21"/>
              </w:rPr>
              <w:t>21.46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2" w:hRule="atLeast"/>
          <w:jc w:val="center"/>
        </w:trPr>
        <w:tc>
          <w:tcPr>
            <w:tcW w:w="3091" w:type="dxa"/>
            <w:tcBorders>
              <w:top w:val="nil"/>
              <w:left w:val="nil"/>
              <w:bottom w:val="nil"/>
              <w:right w:val="single" w:color="auto" w:sz="4" w:space="0"/>
            </w:tcBorders>
            <w:vAlign w:val="center"/>
          </w:tcPr>
          <w:p>
            <w:pPr>
              <w:widowControl/>
              <w:spacing w:line="240" w:lineRule="atLeast"/>
              <w:ind w:left="210" w:leftChars="100" w:right="57"/>
              <w:rPr>
                <w:rFonts w:ascii="仿宋_GB2312" w:hAnsi="Times New Roman" w:eastAsia="仿宋_GB2312"/>
                <w:kern w:val="0"/>
                <w:sz w:val="18"/>
                <w:szCs w:val="18"/>
              </w:rPr>
            </w:pPr>
            <w:r>
              <w:rPr>
                <w:rFonts w:hint="eastAsia" w:ascii="仿宋_GB2312" w:hAnsi="Times New Roman" w:eastAsia="仿宋_GB2312"/>
                <w:kern w:val="0"/>
                <w:szCs w:val="21"/>
              </w:rPr>
              <w:t>建筑安装业</w:t>
            </w:r>
          </w:p>
        </w:tc>
        <w:tc>
          <w:tcPr>
            <w:tcW w:w="1865" w:type="dxa"/>
            <w:tcBorders>
              <w:top w:val="nil"/>
              <w:left w:val="single" w:color="auto" w:sz="4" w:space="0"/>
              <w:bottom w:val="nil"/>
              <w:right w:val="single" w:color="auto" w:sz="4" w:space="0"/>
            </w:tcBorders>
            <w:vAlign w:val="center"/>
          </w:tcPr>
          <w:p>
            <w:pPr>
              <w:widowControl/>
              <w:spacing w:line="240" w:lineRule="atLeast"/>
              <w:ind w:left="57" w:right="567"/>
              <w:jc w:val="right"/>
              <w:rPr>
                <w:rFonts w:ascii="仿宋_GB2312" w:hAnsi="Times New Roman" w:eastAsia="仿宋_GB2312"/>
                <w:kern w:val="0"/>
                <w:sz w:val="18"/>
                <w:szCs w:val="18"/>
              </w:rPr>
            </w:pPr>
            <w:r>
              <w:rPr>
                <w:rFonts w:hint="eastAsia" w:ascii="仿宋_GB2312" w:hAnsi="Times New Roman" w:eastAsia="仿宋_GB2312"/>
                <w:kern w:val="0"/>
                <w:szCs w:val="21"/>
              </w:rPr>
              <w:t>17.72</w:t>
            </w:r>
          </w:p>
        </w:tc>
        <w:tc>
          <w:tcPr>
            <w:tcW w:w="1821" w:type="dxa"/>
            <w:tcBorders>
              <w:top w:val="nil"/>
              <w:left w:val="single" w:color="auto" w:sz="4" w:space="0"/>
              <w:bottom w:val="nil"/>
              <w:right w:val="single" w:color="auto" w:sz="4" w:space="0"/>
            </w:tcBorders>
            <w:vAlign w:val="center"/>
          </w:tcPr>
          <w:p>
            <w:pPr>
              <w:widowControl/>
              <w:spacing w:line="240" w:lineRule="atLeast"/>
              <w:ind w:left="57" w:right="567"/>
              <w:jc w:val="right"/>
              <w:rPr>
                <w:rFonts w:ascii="仿宋_GB2312" w:hAnsi="Times New Roman" w:eastAsia="仿宋_GB2312"/>
                <w:kern w:val="0"/>
                <w:sz w:val="18"/>
                <w:szCs w:val="18"/>
              </w:rPr>
            </w:pPr>
            <w:r>
              <w:rPr>
                <w:rFonts w:hint="eastAsia" w:ascii="仿宋_GB2312" w:hAnsi="Times New Roman" w:eastAsia="仿宋_GB2312"/>
                <w:kern w:val="0"/>
                <w:szCs w:val="21"/>
              </w:rPr>
              <w:t>12.65</w:t>
            </w:r>
          </w:p>
        </w:tc>
        <w:tc>
          <w:tcPr>
            <w:tcW w:w="1842" w:type="dxa"/>
            <w:tcBorders>
              <w:top w:val="nil"/>
              <w:left w:val="single" w:color="auto" w:sz="4" w:space="0"/>
              <w:bottom w:val="nil"/>
              <w:right w:val="nil"/>
            </w:tcBorders>
            <w:vAlign w:val="center"/>
          </w:tcPr>
          <w:p>
            <w:pPr>
              <w:widowControl/>
              <w:spacing w:line="240" w:lineRule="atLeast"/>
              <w:ind w:left="57" w:right="567"/>
              <w:jc w:val="right"/>
              <w:rPr>
                <w:rFonts w:ascii="仿宋_GB2312" w:hAnsi="Times New Roman" w:eastAsia="仿宋_GB2312"/>
                <w:kern w:val="0"/>
                <w:sz w:val="18"/>
                <w:szCs w:val="18"/>
              </w:rPr>
            </w:pPr>
            <w:r>
              <w:rPr>
                <w:rFonts w:hint="eastAsia" w:ascii="仿宋_GB2312" w:hAnsi="Times New Roman" w:eastAsia="仿宋_GB2312"/>
                <w:kern w:val="0"/>
                <w:szCs w:val="21"/>
              </w:rPr>
              <w:t>18.15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091" w:type="dxa"/>
            <w:tcBorders>
              <w:top w:val="nil"/>
              <w:left w:val="nil"/>
              <w:bottom w:val="single" w:color="auto" w:sz="12" w:space="0"/>
              <w:right w:val="single" w:color="auto" w:sz="4" w:space="0"/>
            </w:tcBorders>
            <w:vAlign w:val="center"/>
          </w:tcPr>
          <w:p>
            <w:pPr>
              <w:widowControl/>
              <w:spacing w:line="240" w:lineRule="atLeast"/>
              <w:ind w:left="210" w:leftChars="100" w:right="57"/>
              <w:rPr>
                <w:rFonts w:ascii="仿宋_GB2312" w:hAnsi="Times New Roman" w:eastAsia="仿宋_GB2312"/>
                <w:kern w:val="0"/>
                <w:sz w:val="18"/>
                <w:szCs w:val="18"/>
              </w:rPr>
            </w:pPr>
            <w:r>
              <w:rPr>
                <w:rFonts w:hint="eastAsia" w:ascii="仿宋_GB2312" w:hAnsi="Times New Roman" w:eastAsia="仿宋_GB2312"/>
                <w:kern w:val="0"/>
                <w:szCs w:val="21"/>
              </w:rPr>
              <w:t>建筑装饰、装修和其他建筑业</w:t>
            </w:r>
          </w:p>
        </w:tc>
        <w:tc>
          <w:tcPr>
            <w:tcW w:w="1865" w:type="dxa"/>
            <w:tcBorders>
              <w:top w:val="nil"/>
              <w:left w:val="single" w:color="auto" w:sz="4" w:space="0"/>
              <w:bottom w:val="single" w:color="auto" w:sz="12" w:space="0"/>
              <w:right w:val="single" w:color="auto" w:sz="4" w:space="0"/>
            </w:tcBorders>
            <w:vAlign w:val="center"/>
          </w:tcPr>
          <w:p>
            <w:pPr>
              <w:widowControl/>
              <w:spacing w:line="240" w:lineRule="atLeast"/>
              <w:ind w:left="57" w:right="567"/>
              <w:jc w:val="right"/>
              <w:rPr>
                <w:rFonts w:ascii="仿宋_GB2312" w:hAnsi="Times New Roman" w:eastAsia="仿宋_GB2312"/>
                <w:kern w:val="0"/>
                <w:sz w:val="18"/>
                <w:szCs w:val="18"/>
              </w:rPr>
            </w:pPr>
            <w:r>
              <w:rPr>
                <w:rFonts w:hint="eastAsia" w:ascii="仿宋_GB2312" w:hAnsi="Times New Roman" w:eastAsia="仿宋_GB2312"/>
                <w:kern w:val="0"/>
                <w:szCs w:val="21"/>
              </w:rPr>
              <w:t>14.02</w:t>
            </w:r>
          </w:p>
        </w:tc>
        <w:tc>
          <w:tcPr>
            <w:tcW w:w="1821" w:type="dxa"/>
            <w:tcBorders>
              <w:top w:val="nil"/>
              <w:left w:val="single" w:color="auto" w:sz="4" w:space="0"/>
              <w:bottom w:val="single" w:color="auto" w:sz="12" w:space="0"/>
              <w:right w:val="single" w:color="auto" w:sz="4" w:space="0"/>
            </w:tcBorders>
            <w:vAlign w:val="center"/>
          </w:tcPr>
          <w:p>
            <w:pPr>
              <w:widowControl/>
              <w:spacing w:line="240" w:lineRule="atLeast"/>
              <w:ind w:left="57" w:right="567"/>
              <w:jc w:val="right"/>
              <w:rPr>
                <w:rFonts w:ascii="仿宋_GB2312" w:hAnsi="Times New Roman" w:eastAsia="仿宋_GB2312"/>
                <w:kern w:val="0"/>
                <w:sz w:val="18"/>
                <w:szCs w:val="18"/>
              </w:rPr>
            </w:pPr>
            <w:r>
              <w:rPr>
                <w:rFonts w:hint="eastAsia" w:ascii="仿宋_GB2312" w:hAnsi="Times New Roman" w:eastAsia="仿宋_GB2312"/>
                <w:kern w:val="0"/>
                <w:szCs w:val="21"/>
              </w:rPr>
              <w:t>7.33</w:t>
            </w:r>
          </w:p>
        </w:tc>
        <w:tc>
          <w:tcPr>
            <w:tcW w:w="1842" w:type="dxa"/>
            <w:tcBorders>
              <w:top w:val="nil"/>
              <w:left w:val="single" w:color="auto" w:sz="4" w:space="0"/>
              <w:bottom w:val="single" w:color="auto" w:sz="12" w:space="0"/>
              <w:right w:val="nil"/>
            </w:tcBorders>
            <w:vAlign w:val="center"/>
          </w:tcPr>
          <w:p>
            <w:pPr>
              <w:widowControl/>
              <w:spacing w:line="240" w:lineRule="atLeast"/>
              <w:ind w:left="57" w:right="567"/>
              <w:jc w:val="right"/>
              <w:rPr>
                <w:rFonts w:ascii="仿宋_GB2312" w:hAnsi="Times New Roman" w:eastAsia="仿宋_GB2312"/>
                <w:kern w:val="0"/>
                <w:sz w:val="18"/>
                <w:szCs w:val="18"/>
              </w:rPr>
            </w:pPr>
            <w:r>
              <w:rPr>
                <w:rFonts w:hint="eastAsia" w:ascii="仿宋_GB2312" w:hAnsi="Times New Roman" w:eastAsia="仿宋_GB2312"/>
                <w:kern w:val="0"/>
                <w:szCs w:val="21"/>
              </w:rPr>
              <w:t>12.54</w:t>
            </w:r>
          </w:p>
        </w:tc>
      </w:tr>
    </w:tbl>
    <w:p>
      <w:pPr>
        <w:widowControl/>
        <w:spacing w:line="440" w:lineRule="exact"/>
        <w:rPr>
          <w:rFonts w:ascii="黑体" w:hAnsi="黑体" w:eastAsia="黑体"/>
          <w:kern w:val="0"/>
          <w:sz w:val="28"/>
          <w:szCs w:val="28"/>
        </w:rPr>
      </w:pPr>
    </w:p>
    <w:p>
      <w:pPr>
        <w:widowControl/>
        <w:spacing w:line="440" w:lineRule="exact"/>
        <w:ind w:firstLine="560" w:firstLineChars="200"/>
        <w:rPr>
          <w:rFonts w:ascii="Times New Roman" w:hAnsi="Times New Roman" w:eastAsia="黑体"/>
          <w:kern w:val="0"/>
          <w:sz w:val="28"/>
          <w:szCs w:val="28"/>
        </w:rPr>
      </w:pPr>
      <w:r>
        <w:rPr>
          <w:rFonts w:ascii="黑体" w:hAnsi="黑体" w:eastAsia="黑体"/>
          <w:kern w:val="0"/>
          <w:sz w:val="28"/>
          <w:szCs w:val="28"/>
        </w:rPr>
        <w:t>注释：</w:t>
      </w:r>
    </w:p>
    <w:p>
      <w:pPr>
        <w:widowControl/>
        <w:spacing w:line="600" w:lineRule="exact"/>
        <w:ind w:firstLine="420" w:firstLineChars="150"/>
        <w:rPr>
          <w:rFonts w:ascii="楷体_GB2312" w:eastAsia="楷体_GB2312"/>
          <w:kern w:val="0"/>
          <w:sz w:val="28"/>
          <w:szCs w:val="28"/>
        </w:rPr>
      </w:pPr>
      <w:r>
        <w:rPr>
          <w:rFonts w:hint="eastAsia" w:ascii="楷体_GB2312" w:eastAsia="楷体_GB2312"/>
          <w:kern w:val="0"/>
          <w:sz w:val="28"/>
          <w:szCs w:val="28"/>
        </w:rPr>
        <w:t>[1]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pPr>
        <w:widowControl/>
        <w:spacing w:line="600" w:lineRule="exact"/>
        <w:ind w:firstLine="420" w:firstLineChars="150"/>
        <w:rPr>
          <w:rFonts w:ascii="楷体_GB2312" w:eastAsia="楷体_GB2312"/>
          <w:kern w:val="0"/>
          <w:sz w:val="28"/>
          <w:szCs w:val="28"/>
        </w:rPr>
      </w:pPr>
      <w:r>
        <w:rPr>
          <w:rFonts w:hint="eastAsia" w:ascii="楷体_GB2312" w:eastAsia="楷体_GB2312"/>
          <w:kern w:val="0"/>
          <w:sz w:val="28"/>
          <w:szCs w:val="28"/>
        </w:rPr>
        <w:t>[2]表中的合计数和部分计算数据因小数取舍而产生的误差，均未作机械调整。</w:t>
      </w: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1815359"/>
    </w:sdtPr>
    <w:sdtContent>
      <w:sdt>
        <w:sdtPr>
          <w:id w:val="-1361116367"/>
        </w:sdtPr>
        <w:sdtContent>
          <w:p>
            <w:pPr>
              <w:pStyle w:val="2"/>
              <w:ind w:right="360"/>
              <w:jc w:val="right"/>
              <w:rPr>
                <w:sz w:val="21"/>
                <w:szCs w:val="22"/>
              </w:rPr>
            </w:pPr>
            <w:r>
              <w:rPr>
                <w:rFonts w:hint="eastAsia" w:asciiTheme="majorEastAsia" w:hAnsiTheme="majorEastAsia" w:eastAsiaTheme="majorEastAsia"/>
                <w:sz w:val="28"/>
                <w:szCs w:val="28"/>
              </w:rPr>
              <w:t xml:space="preserve">— </w:t>
            </w:r>
            <w:r>
              <w:rPr>
                <w:rFonts w:hint="eastAsia" w:asciiTheme="majorEastAsia" w:hAnsiTheme="majorEastAsia" w:eastAsiaTheme="majorEastAsia"/>
                <w:sz w:val="28"/>
                <w:szCs w:val="28"/>
              </w:rPr>
              <w:fldChar w:fldCharType="begin"/>
            </w:r>
            <w:r>
              <w:rPr>
                <w:rFonts w:hint="eastAsia" w:asciiTheme="majorEastAsia" w:hAnsiTheme="majorEastAsia" w:eastAsiaTheme="majorEastAsia"/>
                <w:sz w:val="28"/>
                <w:szCs w:val="28"/>
              </w:rPr>
              <w:instrText xml:space="preserve"> PAGE   \* MERGEFORMAT </w:instrText>
            </w:r>
            <w:r>
              <w:rPr>
                <w:rFonts w:hint="eastAsia"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7</w:t>
            </w:r>
            <w:r>
              <w:rPr>
                <w:rFonts w:hint="eastAsia"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2"/>
          <w:jc w:val="right"/>
        </w:pP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084825"/>
    </w:sdtPr>
    <w:sdtContent>
      <w:p>
        <w:pPr>
          <w:pStyle w:val="2"/>
          <w:ind w:right="720"/>
        </w:pPr>
      </w:p>
      <w:p>
        <w:pPr>
          <w:pStyle w:val="2"/>
          <w:ind w:right="720" w:firstLine="280" w:firstLineChars="1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hint="eastAsia" w:asciiTheme="majorEastAsia" w:hAnsiTheme="majorEastAsia" w:eastAsiaTheme="majorEastAsia"/>
            <w:sz w:val="28"/>
            <w:szCs w:val="28"/>
          </w:rPr>
          <w:fldChar w:fldCharType="begin"/>
        </w:r>
        <w:r>
          <w:rPr>
            <w:rFonts w:hint="eastAsia" w:asciiTheme="majorEastAsia" w:hAnsiTheme="majorEastAsia" w:eastAsiaTheme="majorEastAsia"/>
            <w:sz w:val="28"/>
            <w:szCs w:val="28"/>
          </w:rPr>
          <w:instrText xml:space="preserve"> PAGE   \* MERGEFORMAT </w:instrText>
        </w:r>
        <w:r>
          <w:rPr>
            <w:rFonts w:hint="eastAsia"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6</w:t>
        </w:r>
        <w:r>
          <w:rPr>
            <w:rFonts w:hint="eastAsia"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p>
        <w:pPr>
          <w:pStyle w:val="2"/>
          <w:ind w:right="720"/>
          <w:rPr>
            <w:sz w:val="21"/>
            <w:szCs w:val="22"/>
          </w:rPr>
        </w:pP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552C7E"/>
    <w:rsid w:val="000819A7"/>
    <w:rsid w:val="000B512D"/>
    <w:rsid w:val="000D762E"/>
    <w:rsid w:val="000F065B"/>
    <w:rsid w:val="00102D45"/>
    <w:rsid w:val="001122EF"/>
    <w:rsid w:val="00184A30"/>
    <w:rsid w:val="001C7299"/>
    <w:rsid w:val="001D6951"/>
    <w:rsid w:val="00217932"/>
    <w:rsid w:val="00247D27"/>
    <w:rsid w:val="002803DE"/>
    <w:rsid w:val="002F4EE9"/>
    <w:rsid w:val="00346B25"/>
    <w:rsid w:val="0035447D"/>
    <w:rsid w:val="00354824"/>
    <w:rsid w:val="00396EEE"/>
    <w:rsid w:val="003973A8"/>
    <w:rsid w:val="003E13A2"/>
    <w:rsid w:val="004B0035"/>
    <w:rsid w:val="004F6A1A"/>
    <w:rsid w:val="004F73EC"/>
    <w:rsid w:val="00504098"/>
    <w:rsid w:val="00521BC0"/>
    <w:rsid w:val="00547502"/>
    <w:rsid w:val="0059444E"/>
    <w:rsid w:val="006A3ACE"/>
    <w:rsid w:val="006D6F60"/>
    <w:rsid w:val="00781D59"/>
    <w:rsid w:val="007C675C"/>
    <w:rsid w:val="007D3B2F"/>
    <w:rsid w:val="007F6990"/>
    <w:rsid w:val="0081570E"/>
    <w:rsid w:val="008916AF"/>
    <w:rsid w:val="00A12AEE"/>
    <w:rsid w:val="00A513E2"/>
    <w:rsid w:val="00A545F4"/>
    <w:rsid w:val="00AD6E41"/>
    <w:rsid w:val="00AE4460"/>
    <w:rsid w:val="00B3270F"/>
    <w:rsid w:val="00B41F56"/>
    <w:rsid w:val="00B66B68"/>
    <w:rsid w:val="00B97A55"/>
    <w:rsid w:val="00BD7EED"/>
    <w:rsid w:val="00C035D8"/>
    <w:rsid w:val="00C57DFA"/>
    <w:rsid w:val="00D5226A"/>
    <w:rsid w:val="00E0376E"/>
    <w:rsid w:val="00E118B1"/>
    <w:rsid w:val="00E267F3"/>
    <w:rsid w:val="00E919C5"/>
    <w:rsid w:val="00E93103"/>
    <w:rsid w:val="00EA3437"/>
    <w:rsid w:val="00EC257B"/>
    <w:rsid w:val="00EC46D9"/>
    <w:rsid w:val="00ED3B05"/>
    <w:rsid w:val="00EE5329"/>
    <w:rsid w:val="00F34DE6"/>
    <w:rsid w:val="00F62A73"/>
    <w:rsid w:val="00F91C24"/>
    <w:rsid w:val="00FB6C0A"/>
    <w:rsid w:val="00FB6F65"/>
    <w:rsid w:val="01BF4070"/>
    <w:rsid w:val="01C94A8C"/>
    <w:rsid w:val="01FF2CF0"/>
    <w:rsid w:val="02181CEF"/>
    <w:rsid w:val="02CD0030"/>
    <w:rsid w:val="0D530684"/>
    <w:rsid w:val="0F4F6370"/>
    <w:rsid w:val="149134C8"/>
    <w:rsid w:val="174569DA"/>
    <w:rsid w:val="19B53A1B"/>
    <w:rsid w:val="19E63701"/>
    <w:rsid w:val="1BC14E73"/>
    <w:rsid w:val="1E4D7BED"/>
    <w:rsid w:val="202F356A"/>
    <w:rsid w:val="205B2C91"/>
    <w:rsid w:val="253355C8"/>
    <w:rsid w:val="2615306C"/>
    <w:rsid w:val="27D461CD"/>
    <w:rsid w:val="369A52D7"/>
    <w:rsid w:val="3E3078B9"/>
    <w:rsid w:val="456F37D9"/>
    <w:rsid w:val="45D3365B"/>
    <w:rsid w:val="4BD10D84"/>
    <w:rsid w:val="4C891F97"/>
    <w:rsid w:val="56C0218F"/>
    <w:rsid w:val="5D630860"/>
    <w:rsid w:val="5DF356C6"/>
    <w:rsid w:val="5F552C7E"/>
    <w:rsid w:val="5FE068CF"/>
    <w:rsid w:val="609119BF"/>
    <w:rsid w:val="645304EF"/>
    <w:rsid w:val="667555A9"/>
    <w:rsid w:val="6D811981"/>
    <w:rsid w:val="6FD118BF"/>
    <w:rsid w:val="7913459F"/>
    <w:rsid w:val="7D2E024E"/>
    <w:rsid w:val="7DEA5D35"/>
    <w:rsid w:val="7F012E3B"/>
    <w:rsid w:val="7F562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nt11"/>
    <w:basedOn w:val="6"/>
    <w:qFormat/>
    <w:uiPriority w:val="0"/>
    <w:rPr>
      <w:rFonts w:hint="eastAsia" w:ascii="宋体" w:hAnsi="宋体" w:eastAsia="宋体" w:cs="宋体"/>
      <w:b/>
      <w:color w:val="000000"/>
      <w:sz w:val="24"/>
      <w:szCs w:val="24"/>
      <w:u w:val="none"/>
    </w:rPr>
  </w:style>
  <w:style w:type="character" w:customStyle="1" w:styleId="8">
    <w:name w:val="font51"/>
    <w:basedOn w:val="6"/>
    <w:qFormat/>
    <w:uiPriority w:val="0"/>
    <w:rPr>
      <w:rFonts w:hint="eastAsia" w:ascii="宋体" w:hAnsi="宋体" w:eastAsia="宋体" w:cs="宋体"/>
      <w:b/>
      <w:color w:val="000000"/>
      <w:sz w:val="24"/>
      <w:szCs w:val="24"/>
      <w:u w:val="none"/>
    </w:rPr>
  </w:style>
  <w:style w:type="character" w:customStyle="1" w:styleId="9">
    <w:name w:val="font61"/>
    <w:basedOn w:val="6"/>
    <w:qFormat/>
    <w:uiPriority w:val="0"/>
    <w:rPr>
      <w:rFonts w:hint="eastAsia" w:ascii="宋体" w:hAnsi="宋体" w:eastAsia="宋体" w:cs="宋体"/>
      <w:color w:val="000000"/>
      <w:sz w:val="21"/>
      <w:szCs w:val="21"/>
      <w:u w:val="none"/>
    </w:rPr>
  </w:style>
  <w:style w:type="character" w:customStyle="1" w:styleId="10">
    <w:name w:val="页眉 Char"/>
    <w:basedOn w:val="6"/>
    <w:link w:val="3"/>
    <w:qFormat/>
    <w:uiPriority w:val="0"/>
    <w:rPr>
      <w:rFonts w:ascii="Calibri" w:hAnsi="Calibri" w:eastAsia="宋体" w:cs="Times New Roman"/>
      <w:kern w:val="2"/>
      <w:sz w:val="18"/>
      <w:szCs w:val="18"/>
    </w:rPr>
  </w:style>
  <w:style w:type="character" w:customStyle="1" w:styleId="11">
    <w:name w:val="页脚 Char"/>
    <w:basedOn w:val="6"/>
    <w:link w:val="2"/>
    <w:qFormat/>
    <w:uiPriority w:val="99"/>
    <w:rPr>
      <w:rFonts w:ascii="Calibri" w:hAnsi="Calibri" w:eastAsia="宋体" w:cs="Times New Roman"/>
      <w:kern w:val="2"/>
      <w:sz w:val="18"/>
      <w:szCs w:val="18"/>
    </w:rPr>
  </w:style>
  <w:style w:type="character" w:customStyle="1" w:styleId="12">
    <w:name w:val="font21"/>
    <w:basedOn w:val="6"/>
    <w:qFormat/>
    <w:uiPriority w:val="0"/>
    <w:rPr>
      <w:rFonts w:hint="default" w:ascii="Calibri" w:hAnsi="Calibri" w:cs="Calibri"/>
      <w:b/>
      <w:bCs/>
      <w:color w:val="000000"/>
      <w:sz w:val="21"/>
      <w:szCs w:val="21"/>
      <w:u w:val="none"/>
    </w:rPr>
  </w:style>
  <w:style w:type="character" w:customStyle="1" w:styleId="13">
    <w:name w:val="font41"/>
    <w:basedOn w:val="6"/>
    <w:qFormat/>
    <w:uiPriority w:val="0"/>
    <w:rPr>
      <w:rFonts w:hint="eastAsia" w:ascii="宋体" w:hAnsi="宋体" w:eastAsia="宋体"/>
      <w:b/>
      <w:bCs/>
      <w:color w:val="000000"/>
      <w:sz w:val="21"/>
      <w:szCs w:val="21"/>
      <w:u w:val="none"/>
    </w:rPr>
  </w:style>
  <w:style w:type="character" w:customStyle="1" w:styleId="14">
    <w:name w:val="font31"/>
    <w:basedOn w:val="6"/>
    <w:qFormat/>
    <w:uiPriority w:val="0"/>
    <w:rPr>
      <w:rFonts w:hint="eastAsia" w:ascii="宋体" w:hAnsi="宋体" w:eastAsia="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7</Pages>
  <Words>613</Words>
  <Characters>3498</Characters>
  <Lines>29</Lines>
  <Paragraphs>8</Paragraphs>
  <TotalTime>84</TotalTime>
  <ScaleCrop>false</ScaleCrop>
  <LinksUpToDate>false</LinksUpToDate>
  <CharactersWithSpaces>4103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2020-03-24T09:21:00Z</dcterms:created>
  <dc:creator>跑大神</dc:creator>
  <cp:lastModifiedBy>梦雨</cp:lastModifiedBy>
  <cp:lastPrinted>2020-03-06T06:39:00Z</cp:lastPrinted>
  <dcterms:modified xsi:type="dcterms:W3CDTF">2020-04-13T08:44:24Z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